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203" w:rsidRPr="007627FD" w:rsidRDefault="00805F1A">
      <w:pPr>
        <w:pStyle w:val="1"/>
        <w:widowControl/>
        <w:spacing w:line="560" w:lineRule="exact"/>
        <w:jc w:val="center"/>
        <w:rPr>
          <w:rFonts w:ascii="方正小标宋简体" w:eastAsia="方正小标宋简体" w:hAnsi="方正小标宋简体" w:cs="方正小标宋简体" w:hint="default"/>
          <w:b w:val="0"/>
          <w:bCs/>
          <w:color w:val="000000" w:themeColor="text1"/>
          <w:sz w:val="44"/>
          <w:szCs w:val="44"/>
        </w:rPr>
      </w:pPr>
      <w:r w:rsidRPr="007627FD">
        <w:rPr>
          <w:rFonts w:ascii="方正小标宋简体" w:eastAsia="方正小标宋简体" w:hAnsi="方正小标宋简体" w:cs="方正小标宋简体"/>
          <w:b w:val="0"/>
          <w:bCs/>
          <w:color w:val="000000" w:themeColor="text1"/>
          <w:sz w:val="44"/>
          <w:szCs w:val="44"/>
        </w:rPr>
        <w:t>十二师商品房预售资金监督管理办法</w:t>
      </w:r>
    </w:p>
    <w:p w:rsidR="009C3203" w:rsidRPr="007627FD" w:rsidRDefault="00805F1A">
      <w:pPr>
        <w:spacing w:line="560" w:lineRule="exact"/>
        <w:jc w:val="center"/>
        <w:rPr>
          <w:rFonts w:ascii="方正小标宋简体" w:eastAsia="方正小标宋简体" w:hAnsi="方正小标宋简体" w:cs="方正小标宋简体"/>
          <w:bCs/>
          <w:color w:val="000000" w:themeColor="text1"/>
          <w:sz w:val="32"/>
          <w:szCs w:val="32"/>
        </w:rPr>
      </w:pPr>
      <w:r w:rsidRPr="007627FD">
        <w:rPr>
          <w:rFonts w:ascii="方正小标宋简体" w:eastAsia="方正小标宋简体" w:hAnsi="方正小标宋简体" w:cs="方正小标宋简体" w:hint="eastAsia"/>
          <w:bCs/>
          <w:color w:val="000000" w:themeColor="text1"/>
          <w:sz w:val="44"/>
          <w:szCs w:val="44"/>
        </w:rPr>
        <w:t>（试行）</w:t>
      </w:r>
    </w:p>
    <w:p w:rsidR="009C3203" w:rsidRPr="007627FD" w:rsidRDefault="009C3203">
      <w:pPr>
        <w:spacing w:line="560" w:lineRule="exact"/>
        <w:jc w:val="center"/>
        <w:rPr>
          <w:rFonts w:ascii="方正小标宋简体" w:eastAsia="方正小标宋简体" w:hAnsi="方正小标宋简体" w:cs="方正小标宋简体"/>
          <w:bCs/>
          <w:color w:val="000000" w:themeColor="text1"/>
          <w:sz w:val="32"/>
          <w:szCs w:val="32"/>
        </w:rPr>
      </w:pP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黑体" w:eastAsia="黑体" w:hAnsi="黑体" w:cs="黑体" w:hint="eastAsia"/>
          <w:color w:val="000000" w:themeColor="text1"/>
          <w:sz w:val="32"/>
          <w:szCs w:val="32"/>
        </w:rPr>
        <w:t xml:space="preserve">第一条  </w:t>
      </w:r>
      <w:r w:rsidRPr="007627FD">
        <w:rPr>
          <w:rFonts w:ascii="仿宋_GB2312" w:eastAsia="仿宋_GB2312" w:hAnsi="仿宋_GB2312" w:cs="仿宋_GB2312" w:hint="eastAsia"/>
          <w:color w:val="000000" w:themeColor="text1"/>
          <w:sz w:val="32"/>
          <w:szCs w:val="32"/>
        </w:rPr>
        <w:t>为加强商品房预售资金管理，保护预售商品房当事人的合法权益，促进十二师房地产市场健康有序发展，根据《中华人民共和国城市房地产管理法》、《城市商品房预售管理办法》（建设部令第131号）等有关法律法规，结合十二师实际，制定本办法。</w:t>
      </w:r>
    </w:p>
    <w:p w:rsidR="009C3203" w:rsidRPr="007627FD" w:rsidRDefault="00805F1A">
      <w:pPr>
        <w:spacing w:line="560" w:lineRule="exact"/>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 xml:space="preserve">　　</w:t>
      </w:r>
      <w:r w:rsidRPr="007627FD">
        <w:rPr>
          <w:rFonts w:ascii="黑体" w:eastAsia="黑体" w:hAnsi="黑体" w:cs="黑体" w:hint="eastAsia"/>
          <w:color w:val="000000" w:themeColor="text1"/>
          <w:sz w:val="32"/>
          <w:szCs w:val="32"/>
        </w:rPr>
        <w:t xml:space="preserve">第二条 </w:t>
      </w:r>
      <w:r w:rsidRPr="007627FD">
        <w:rPr>
          <w:rFonts w:ascii="仿宋_GB2312" w:eastAsia="仿宋_GB2312" w:hAnsi="仿宋_GB2312" w:cs="仿宋_GB2312" w:hint="eastAsia"/>
          <w:color w:val="000000" w:themeColor="text1"/>
          <w:sz w:val="32"/>
          <w:szCs w:val="32"/>
        </w:rPr>
        <w:t xml:space="preserve"> 师域内新开工的房地产开发项目，经批准预售的商品房预售资金的收存、</w:t>
      </w:r>
      <w:r w:rsidR="00E318EF" w:rsidRPr="007627FD">
        <w:rPr>
          <w:rFonts w:ascii="仿宋_GB2312" w:eastAsia="仿宋_GB2312" w:hAnsi="仿宋_GB2312" w:cs="仿宋_GB2312" w:hint="eastAsia"/>
          <w:color w:val="000000" w:themeColor="text1"/>
          <w:sz w:val="32"/>
          <w:szCs w:val="32"/>
        </w:rPr>
        <w:t>支取及其</w:t>
      </w:r>
      <w:r w:rsidRPr="007627FD">
        <w:rPr>
          <w:rFonts w:ascii="仿宋_GB2312" w:eastAsia="仿宋_GB2312" w:hAnsi="仿宋_GB2312" w:cs="仿宋_GB2312" w:hint="eastAsia"/>
          <w:color w:val="000000" w:themeColor="text1"/>
          <w:sz w:val="32"/>
          <w:szCs w:val="32"/>
        </w:rPr>
        <w:t>监督管理，适用本办法。</w:t>
      </w:r>
    </w:p>
    <w:p w:rsidR="009C3203" w:rsidRPr="007627FD" w:rsidRDefault="00805F1A">
      <w:pPr>
        <w:spacing w:line="560" w:lineRule="exact"/>
        <w:ind w:firstLineChars="200" w:firstLine="640"/>
        <w:rPr>
          <w:rFonts w:ascii="宋体" w:eastAsia="宋体" w:hAnsi="宋体" w:cs="宋体"/>
          <w:color w:val="000000" w:themeColor="text1"/>
          <w:kern w:val="0"/>
          <w:sz w:val="27"/>
          <w:szCs w:val="27"/>
        </w:rPr>
      </w:pPr>
      <w:r w:rsidRPr="007627FD">
        <w:rPr>
          <w:rFonts w:ascii="黑体" w:eastAsia="黑体" w:hAnsi="黑体" w:cs="黑体" w:hint="eastAsia"/>
          <w:color w:val="000000" w:themeColor="text1"/>
          <w:sz w:val="32"/>
          <w:szCs w:val="32"/>
        </w:rPr>
        <w:t>第三条</w:t>
      </w:r>
      <w:r w:rsidRPr="007627FD">
        <w:rPr>
          <w:rFonts w:ascii="仿宋_GB2312" w:eastAsia="仿宋_GB2312" w:hAnsi="仿宋_GB2312" w:cs="仿宋_GB2312" w:hint="eastAsia"/>
          <w:color w:val="000000" w:themeColor="text1"/>
          <w:sz w:val="32"/>
          <w:szCs w:val="32"/>
        </w:rPr>
        <w:t xml:space="preserve">  本办法所称商品房预售资金，是指房地产开发企业（以下简称开发企业）将已取得《商品房预售许可证》的商品房出售给买受人，买受人所支付的全部购房款。</w:t>
      </w:r>
    </w:p>
    <w:p w:rsidR="009C3203" w:rsidRPr="007627FD" w:rsidRDefault="00805F1A">
      <w:pPr>
        <w:widowControl/>
        <w:shd w:val="clear" w:color="auto" w:fill="FFFFFF"/>
        <w:spacing w:line="560" w:lineRule="exact"/>
        <w:ind w:firstLine="640"/>
        <w:rPr>
          <w:rFonts w:ascii="仿宋_GB2312" w:eastAsia="仿宋_GB2312" w:hAnsi="宋体" w:cs="宋体"/>
          <w:color w:val="000000" w:themeColor="text1"/>
          <w:kern w:val="0"/>
          <w:sz w:val="32"/>
          <w:szCs w:val="32"/>
        </w:rPr>
      </w:pPr>
      <w:r w:rsidRPr="007627FD">
        <w:rPr>
          <w:rFonts w:ascii="黑体" w:eastAsia="黑体" w:hAnsi="黑体" w:cs="黑体" w:hint="eastAsia"/>
          <w:color w:val="000000" w:themeColor="text1"/>
          <w:sz w:val="32"/>
          <w:szCs w:val="32"/>
        </w:rPr>
        <w:t>第四条</w:t>
      </w:r>
      <w:r w:rsidRPr="007627FD">
        <w:rPr>
          <w:rFonts w:ascii="仿宋_GB2312" w:eastAsia="仿宋_GB2312" w:hAnsi="仿宋_GB2312" w:cs="仿宋_GB2312" w:hint="eastAsia"/>
          <w:color w:val="000000" w:themeColor="text1"/>
          <w:sz w:val="32"/>
          <w:szCs w:val="32"/>
        </w:rPr>
        <w:t xml:space="preserve">  </w:t>
      </w:r>
      <w:r w:rsidRPr="007627FD">
        <w:rPr>
          <w:rFonts w:ascii="仿宋_GB2312" w:eastAsia="仿宋_GB2312" w:hAnsi="宋体" w:cs="宋体" w:hint="eastAsia"/>
          <w:color w:val="000000" w:themeColor="text1"/>
          <w:kern w:val="0"/>
          <w:sz w:val="32"/>
          <w:szCs w:val="32"/>
        </w:rPr>
        <w:t>十二师住房和城乡建设局为十二师商品房预售资金监管的主管部门，并负责对违反商品房预售资金管理的行为依法进行查处。十二师住建局</w:t>
      </w:r>
      <w:r w:rsidR="00E318EF" w:rsidRPr="007627FD">
        <w:rPr>
          <w:rFonts w:ascii="仿宋_GB2312" w:eastAsia="仿宋_GB2312" w:hAnsi="宋体" w:cs="宋体" w:hint="eastAsia"/>
          <w:color w:val="000000" w:themeColor="text1"/>
          <w:kern w:val="0"/>
          <w:sz w:val="32"/>
          <w:szCs w:val="32"/>
        </w:rPr>
        <w:t>下属的</w:t>
      </w:r>
      <w:r w:rsidRPr="007627FD">
        <w:rPr>
          <w:rFonts w:ascii="仿宋_GB2312" w:eastAsia="仿宋_GB2312" w:hAnsi="宋体" w:cs="宋体" w:hint="eastAsia"/>
          <w:color w:val="000000" w:themeColor="text1"/>
          <w:kern w:val="0"/>
          <w:sz w:val="32"/>
          <w:szCs w:val="32"/>
        </w:rPr>
        <w:t>房管部门为商品房预售资金监管实施机构</w:t>
      </w:r>
      <w:r w:rsidRPr="007627FD">
        <w:rPr>
          <w:rFonts w:ascii="仿宋_GB2312" w:eastAsia="仿宋_GB2312" w:hAnsi="仿宋_GB2312" w:cs="仿宋_GB2312" w:hint="eastAsia"/>
          <w:color w:val="000000" w:themeColor="text1"/>
          <w:sz w:val="32"/>
          <w:szCs w:val="32"/>
        </w:rPr>
        <w:t>（监管部门）</w:t>
      </w:r>
      <w:r w:rsidRPr="007627FD">
        <w:rPr>
          <w:rFonts w:ascii="仿宋_GB2312" w:eastAsia="仿宋_GB2312" w:hAnsi="宋体" w:cs="宋体" w:hint="eastAsia"/>
          <w:color w:val="000000" w:themeColor="text1"/>
          <w:kern w:val="0"/>
          <w:sz w:val="32"/>
          <w:szCs w:val="32"/>
        </w:rPr>
        <w:t>，具体负责商品房预售资金的监督管理工作。</w:t>
      </w:r>
    </w:p>
    <w:p w:rsidR="009C3203" w:rsidRPr="007627FD" w:rsidRDefault="00805F1A">
      <w:pPr>
        <w:widowControl/>
        <w:shd w:val="clear" w:color="auto" w:fill="FFFFFF"/>
        <w:spacing w:line="560" w:lineRule="exact"/>
        <w:ind w:firstLine="640"/>
        <w:rPr>
          <w:rFonts w:ascii="仿宋_GB2312" w:eastAsia="仿宋_GB2312" w:hAnsi="仿宋_GB2312" w:cs="仿宋_GB2312"/>
          <w:color w:val="000000" w:themeColor="text1"/>
          <w:sz w:val="32"/>
          <w:szCs w:val="32"/>
        </w:rPr>
      </w:pPr>
      <w:r w:rsidRPr="007627FD">
        <w:rPr>
          <w:rFonts w:ascii="黑体" w:eastAsia="黑体" w:hAnsi="黑体" w:cs="宋体" w:hint="eastAsia"/>
          <w:color w:val="000000" w:themeColor="text1"/>
          <w:kern w:val="0"/>
          <w:sz w:val="32"/>
          <w:szCs w:val="32"/>
        </w:rPr>
        <w:t xml:space="preserve">第五条  </w:t>
      </w:r>
      <w:r w:rsidRPr="007627FD">
        <w:rPr>
          <w:rFonts w:ascii="仿宋_GB2312" w:eastAsia="仿宋_GB2312" w:hAnsi="宋体" w:cs="宋体" w:hint="eastAsia"/>
          <w:color w:val="000000" w:themeColor="text1"/>
          <w:kern w:val="0"/>
          <w:sz w:val="32"/>
          <w:szCs w:val="32"/>
        </w:rPr>
        <w:t>开发企业进行商品房预售，应当取得《商品房预售许可证》。未取得《商品房预售许可证》的，不得进行商品房预售或者变相预售。</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黑体" w:eastAsia="黑体" w:hAnsi="黑体" w:cs="宋体" w:hint="eastAsia"/>
          <w:color w:val="000000" w:themeColor="text1"/>
          <w:kern w:val="0"/>
          <w:sz w:val="32"/>
          <w:szCs w:val="32"/>
        </w:rPr>
        <w:t>第六条</w:t>
      </w:r>
      <w:r w:rsidRPr="007627FD">
        <w:rPr>
          <w:rFonts w:ascii="宋体" w:eastAsia="宋体" w:hAnsi="宋体" w:cs="宋体" w:hint="eastAsia"/>
          <w:color w:val="000000" w:themeColor="text1"/>
          <w:kern w:val="0"/>
          <w:sz w:val="32"/>
          <w:szCs w:val="32"/>
        </w:rPr>
        <w:t> </w:t>
      </w:r>
      <w:r w:rsidRPr="007627FD">
        <w:rPr>
          <w:rFonts w:ascii="仿宋_GB2312" w:eastAsia="仿宋_GB2312" w:hAnsi="仿宋_GB2312" w:cs="仿宋_GB2312" w:hint="eastAsia"/>
          <w:color w:val="000000" w:themeColor="text1"/>
          <w:sz w:val="32"/>
          <w:szCs w:val="32"/>
        </w:rPr>
        <w:t>开发企业在申请《商品房预售许可证》前，应当选</w:t>
      </w:r>
      <w:r w:rsidRPr="007627FD">
        <w:rPr>
          <w:rFonts w:ascii="仿宋_GB2312" w:eastAsia="仿宋_GB2312" w:hAnsi="仿宋_GB2312" w:cs="仿宋_GB2312" w:hint="eastAsia"/>
          <w:color w:val="000000" w:themeColor="text1"/>
          <w:sz w:val="32"/>
          <w:szCs w:val="32"/>
        </w:rPr>
        <w:lastRenderedPageBreak/>
        <w:t>择办理商品房预售资金监管业务的商业银行（以下简称监管银行），按照一个预售许可申请对应一个账户的原</w:t>
      </w:r>
      <w:bookmarkStart w:id="0" w:name="_GoBack"/>
      <w:bookmarkEnd w:id="0"/>
      <w:r w:rsidRPr="007627FD">
        <w:rPr>
          <w:rFonts w:ascii="仿宋_GB2312" w:eastAsia="仿宋_GB2312" w:hAnsi="仿宋_GB2312" w:cs="仿宋_GB2312" w:hint="eastAsia"/>
          <w:color w:val="000000" w:themeColor="text1"/>
          <w:sz w:val="32"/>
          <w:szCs w:val="32"/>
        </w:rPr>
        <w:t>则，在监管银行设立商品房预售资金监管专用账户（以下简称监管专用账户）。</w:t>
      </w:r>
    </w:p>
    <w:p w:rsidR="009C3203" w:rsidRPr="007627FD" w:rsidRDefault="00805F1A">
      <w:pPr>
        <w:widowControl/>
        <w:shd w:val="clear" w:color="auto" w:fill="FFFFFF"/>
        <w:spacing w:line="560" w:lineRule="exact"/>
        <w:ind w:firstLine="645"/>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资金监管部门、监管银行、开发企业应签订商品房预售资金三方监管协议（以下简称监管协议）。监管协议应当明确商品房项目的重点监管资金标准和具体额度。</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黑体" w:eastAsia="黑体" w:hAnsi="黑体" w:cs="黑体" w:hint="eastAsia"/>
          <w:color w:val="000000" w:themeColor="text1"/>
          <w:sz w:val="32"/>
          <w:szCs w:val="32"/>
        </w:rPr>
        <w:t>第七条</w:t>
      </w:r>
      <w:r w:rsidRPr="007627FD">
        <w:rPr>
          <w:rFonts w:ascii="仿宋_GB2312" w:eastAsia="仿宋_GB2312" w:hAnsi="仿宋_GB2312" w:cs="仿宋_GB2312" w:hint="eastAsia"/>
          <w:color w:val="000000" w:themeColor="text1"/>
          <w:sz w:val="32"/>
          <w:szCs w:val="32"/>
        </w:rPr>
        <w:t xml:space="preserve">  开发企业在申请《商品房预售许可证》前，应当在预售方案中明确商品房预售资金监管的以下事项：</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（一）项目工程建设费用；</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（二）项目用款计划；</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（三）选定的监管银行，并提交监管协议；</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（四）监管专用账户名称、账号；</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（五）涉及的其他情况。</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黑体" w:eastAsia="黑体" w:hAnsi="黑体" w:cs="黑体" w:hint="eastAsia"/>
          <w:color w:val="000000" w:themeColor="text1"/>
          <w:sz w:val="32"/>
          <w:szCs w:val="32"/>
        </w:rPr>
        <w:t>第八条</w:t>
      </w:r>
      <w:r w:rsidRPr="007627FD">
        <w:rPr>
          <w:rFonts w:ascii="仿宋_GB2312" w:eastAsia="仿宋_GB2312" w:hAnsi="仿宋_GB2312" w:cs="仿宋_GB2312" w:hint="eastAsia"/>
          <w:color w:val="000000" w:themeColor="text1"/>
          <w:sz w:val="32"/>
          <w:szCs w:val="32"/>
        </w:rPr>
        <w:t xml:space="preserve">  </w:t>
      </w:r>
      <w:r w:rsidRPr="007627FD">
        <w:rPr>
          <w:rFonts w:ascii="仿宋_GB2312" w:eastAsia="仿宋_GB2312" w:hAnsi="宋体" w:cs="宋体" w:hint="eastAsia"/>
          <w:color w:val="000000" w:themeColor="text1"/>
          <w:kern w:val="0"/>
          <w:sz w:val="32"/>
          <w:szCs w:val="32"/>
        </w:rPr>
        <w:t>设立商品房预售资金监管专用账户的银行（以下简称监管银行），应当</w:t>
      </w:r>
      <w:r w:rsidRPr="007627FD">
        <w:rPr>
          <w:rFonts w:ascii="仿宋_GB2312" w:eastAsia="仿宋_GB2312" w:hAnsi="仿宋_GB2312" w:cs="仿宋_GB2312" w:hint="eastAsia"/>
          <w:color w:val="000000" w:themeColor="text1"/>
          <w:sz w:val="32"/>
          <w:szCs w:val="32"/>
        </w:rPr>
        <w:t>具备资金监管安全规范运行条件的商业银行，</w:t>
      </w:r>
      <w:r w:rsidRPr="007627FD">
        <w:rPr>
          <w:rFonts w:ascii="仿宋_GB2312" w:eastAsia="仿宋_GB2312" w:hAnsi="宋体" w:cs="宋体" w:hint="eastAsia"/>
          <w:color w:val="000000" w:themeColor="text1"/>
          <w:kern w:val="0"/>
          <w:sz w:val="32"/>
          <w:szCs w:val="32"/>
        </w:rPr>
        <w:t>符合监管要求，</w:t>
      </w:r>
      <w:r w:rsidRPr="007627FD">
        <w:rPr>
          <w:rFonts w:ascii="仿宋_GB2312" w:eastAsia="仿宋_GB2312" w:hAnsi="仿宋_GB2312" w:cs="仿宋_GB2312" w:hint="eastAsia"/>
          <w:color w:val="000000" w:themeColor="text1"/>
          <w:sz w:val="32"/>
          <w:szCs w:val="32"/>
        </w:rPr>
        <w:t>可以配合资金监管部门开展商品房预售资金监管业务，与资金监管部门签订商品房预售资金监管合作协议后，提供相应的金融服务。</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黑体" w:eastAsia="黑体" w:hAnsi="黑体" w:cs="黑体" w:hint="eastAsia"/>
          <w:color w:val="000000" w:themeColor="text1"/>
          <w:sz w:val="32"/>
          <w:szCs w:val="32"/>
        </w:rPr>
        <w:t>第九条</w:t>
      </w:r>
      <w:r w:rsidRPr="007627FD">
        <w:rPr>
          <w:rFonts w:ascii="仿宋_GB2312" w:eastAsia="仿宋_GB2312" w:hAnsi="仿宋_GB2312" w:cs="仿宋_GB2312" w:hint="eastAsia"/>
          <w:color w:val="000000" w:themeColor="text1"/>
          <w:sz w:val="32"/>
          <w:szCs w:val="32"/>
        </w:rPr>
        <w:t xml:space="preserve">  开发企业在取得《商品房预售许可证》后，应当将监管专用账户在商品房销售场所予以公示。</w:t>
      </w:r>
    </w:p>
    <w:p w:rsidR="009C3203" w:rsidRPr="007627FD" w:rsidRDefault="00805F1A">
      <w:pPr>
        <w:spacing w:line="560" w:lineRule="exact"/>
        <w:ind w:firstLineChars="200" w:firstLine="640"/>
        <w:rPr>
          <w:rFonts w:ascii="宋体" w:eastAsia="宋体" w:hAnsi="宋体" w:cs="宋体"/>
          <w:color w:val="000000" w:themeColor="text1"/>
          <w:kern w:val="0"/>
          <w:sz w:val="27"/>
          <w:szCs w:val="27"/>
        </w:rPr>
      </w:pPr>
      <w:r w:rsidRPr="007627FD">
        <w:rPr>
          <w:rFonts w:ascii="黑体" w:eastAsia="黑体" w:hAnsi="黑体" w:cs="宋体" w:hint="eastAsia"/>
          <w:color w:val="000000" w:themeColor="text1"/>
          <w:kern w:val="0"/>
          <w:sz w:val="32"/>
          <w:szCs w:val="32"/>
        </w:rPr>
        <w:t>第十条</w:t>
      </w:r>
      <w:r w:rsidRPr="007627FD">
        <w:rPr>
          <w:rFonts w:ascii="宋体" w:eastAsia="宋体" w:hAnsi="宋体" w:cs="宋体" w:hint="eastAsia"/>
          <w:color w:val="000000" w:themeColor="text1"/>
          <w:kern w:val="0"/>
          <w:sz w:val="32"/>
          <w:szCs w:val="32"/>
        </w:rPr>
        <w:t> </w:t>
      </w:r>
      <w:r w:rsidRPr="007627FD">
        <w:rPr>
          <w:rFonts w:ascii="仿宋_GB2312" w:eastAsia="仿宋_GB2312" w:hAnsi="宋体" w:cs="宋体" w:hint="eastAsia"/>
          <w:color w:val="000000" w:themeColor="text1"/>
          <w:kern w:val="0"/>
          <w:sz w:val="32"/>
          <w:szCs w:val="32"/>
        </w:rPr>
        <w:t>商品房预售资金应当直接存入相应的监管专用账户。开发企业和买受人签订《商品房买卖合同》时，应当明确缴</w:t>
      </w:r>
      <w:r w:rsidRPr="007627FD">
        <w:rPr>
          <w:rFonts w:ascii="仿宋_GB2312" w:eastAsia="仿宋_GB2312" w:hAnsi="宋体" w:cs="宋体" w:hint="eastAsia"/>
          <w:color w:val="000000" w:themeColor="text1"/>
          <w:kern w:val="0"/>
          <w:sz w:val="32"/>
          <w:szCs w:val="32"/>
        </w:rPr>
        <w:lastRenderedPageBreak/>
        <w:t>款的方式及缴款的具体时间和金额。买受人申请购房贷款的，发放贷款单位应当按照借款合同约定的时间和金额将贷款直接划转至商品房预售资金监管专用账户。</w:t>
      </w:r>
      <w:r w:rsidRPr="007627FD">
        <w:rPr>
          <w:rFonts w:ascii="仿宋_GB2312" w:eastAsia="仿宋_GB2312" w:hAnsi="仿宋_GB2312" w:cs="仿宋_GB2312" w:hint="eastAsia"/>
          <w:color w:val="000000" w:themeColor="text1"/>
          <w:sz w:val="32"/>
          <w:szCs w:val="32"/>
        </w:rPr>
        <w:t>开发企业依据买受人提供的监管银行收款凭证为其出具购房票据。</w:t>
      </w:r>
      <w:r w:rsidRPr="007627FD">
        <w:rPr>
          <w:rFonts w:ascii="仿宋_GB2312" w:eastAsia="仿宋_GB2312" w:hAnsi="宋体" w:cs="宋体" w:hint="eastAsia"/>
          <w:color w:val="000000" w:themeColor="text1"/>
          <w:kern w:val="0"/>
          <w:sz w:val="32"/>
          <w:szCs w:val="32"/>
        </w:rPr>
        <w:t>开发企业不得以任何方式直接接收或代理接收商品方预售资金。</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黑体" w:eastAsia="黑体" w:hAnsi="黑体" w:cs="黑体" w:hint="eastAsia"/>
          <w:color w:val="000000" w:themeColor="text1"/>
          <w:sz w:val="32"/>
          <w:szCs w:val="32"/>
        </w:rPr>
        <w:t>第十一条</w:t>
      </w:r>
      <w:r w:rsidRPr="007627FD">
        <w:rPr>
          <w:rFonts w:ascii="仿宋_GB2312" w:eastAsia="仿宋_GB2312" w:hAnsi="仿宋_GB2312" w:cs="仿宋_GB2312" w:hint="eastAsia"/>
          <w:color w:val="000000" w:themeColor="text1"/>
          <w:sz w:val="32"/>
          <w:szCs w:val="32"/>
        </w:rPr>
        <w:t xml:space="preserve">  十二师商品房预售资金实行全程监管。</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商品房预售资金分为重点监管资金和非重点监管资金。其中，用于支付建筑安装、区内配套建设等费用的商品房预售资金为重点监管资金，其余为非重点监管资金。</w:t>
      </w:r>
    </w:p>
    <w:p w:rsidR="009C3203" w:rsidRPr="007627FD" w:rsidRDefault="00805F1A">
      <w:pPr>
        <w:widowControl/>
        <w:shd w:val="clear" w:color="auto" w:fill="FFFFFF"/>
        <w:spacing w:line="560" w:lineRule="exact"/>
        <w:ind w:firstLine="645"/>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重点监管资金标准由住房和城乡建设局组织相关专业机构结合区域、建筑结构、用途等因素综合测定，并定期调整公布。</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黑体" w:eastAsia="黑体" w:hAnsi="黑体" w:cs="黑体" w:hint="eastAsia"/>
          <w:color w:val="000000" w:themeColor="text1"/>
          <w:sz w:val="32"/>
          <w:szCs w:val="32"/>
        </w:rPr>
        <w:t xml:space="preserve">第十二条  </w:t>
      </w:r>
      <w:r w:rsidRPr="007627FD">
        <w:rPr>
          <w:rFonts w:ascii="仿宋_GB2312" w:eastAsia="仿宋_GB2312" w:hAnsi="仿宋_GB2312" w:cs="仿宋_GB2312" w:hint="eastAsia"/>
          <w:color w:val="000000" w:themeColor="text1"/>
          <w:sz w:val="32"/>
          <w:szCs w:val="32"/>
        </w:rPr>
        <w:t>进入监管专用账户的重点监管资金应当用于该商品房项目的工程建设。开发企业应当根据该商品房项目的工程建设进度，按照节点分期申请使用重点监管资金。</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分期申请使用重点监管资金节点和相应额度的具体办法由住房和城乡建设局根据监管工作实际情况制定。</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开发企业可以申请使用非重点监管资金，优先用于该商品房项目工程有关建设。</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黑体" w:eastAsia="黑体" w:hAnsi="黑体" w:cs="黑体" w:hint="eastAsia"/>
          <w:color w:val="000000" w:themeColor="text1"/>
          <w:sz w:val="32"/>
          <w:szCs w:val="32"/>
        </w:rPr>
        <w:t xml:space="preserve">第十三条  </w:t>
      </w:r>
      <w:r w:rsidRPr="007627FD">
        <w:rPr>
          <w:rFonts w:ascii="仿宋_GB2312" w:eastAsia="仿宋_GB2312" w:hAnsi="仿宋_GB2312" w:cs="仿宋_GB2312" w:hint="eastAsia"/>
          <w:color w:val="000000" w:themeColor="text1"/>
          <w:sz w:val="32"/>
          <w:szCs w:val="32"/>
        </w:rPr>
        <w:t>开发企业申请使用重点监管资金时，应当向资金监管部门提交下列证明材料：</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（一）商品房预售资金使用申请；</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t>（二）监理单位出具的工程建设进度施工完成证明。</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仿宋_GB2312" w:eastAsia="仿宋_GB2312" w:hAnsi="仿宋_GB2312" w:cs="仿宋_GB2312" w:hint="eastAsia"/>
          <w:color w:val="000000" w:themeColor="text1"/>
          <w:sz w:val="32"/>
          <w:szCs w:val="32"/>
        </w:rPr>
        <w:lastRenderedPageBreak/>
        <w:t>完成商品房工程质量竣工验收及不动产首次登记的，应当提交其证明材料。</w:t>
      </w:r>
    </w:p>
    <w:p w:rsidR="009C3203" w:rsidRPr="007627FD" w:rsidRDefault="00805F1A">
      <w:pPr>
        <w:widowControl/>
        <w:shd w:val="clear" w:color="auto" w:fill="FFFFFF"/>
        <w:spacing w:line="560" w:lineRule="exact"/>
        <w:ind w:firstLine="645"/>
        <w:rPr>
          <w:rFonts w:ascii="宋体" w:eastAsia="宋体" w:hAnsi="宋体" w:cs="宋体"/>
          <w:color w:val="000000" w:themeColor="text1"/>
          <w:kern w:val="0"/>
          <w:sz w:val="27"/>
          <w:szCs w:val="27"/>
        </w:rPr>
      </w:pPr>
      <w:r w:rsidRPr="007627FD">
        <w:rPr>
          <w:rFonts w:ascii="黑体" w:eastAsia="黑体" w:hAnsi="黑体" w:cs="宋体" w:hint="eastAsia"/>
          <w:color w:val="000000" w:themeColor="text1"/>
          <w:kern w:val="0"/>
          <w:sz w:val="32"/>
          <w:szCs w:val="32"/>
        </w:rPr>
        <w:t>第十四条</w:t>
      </w:r>
      <w:r w:rsidRPr="007627FD">
        <w:rPr>
          <w:rFonts w:ascii="宋体" w:eastAsia="宋体" w:hAnsi="宋体" w:cs="宋体" w:hint="eastAsia"/>
          <w:color w:val="000000" w:themeColor="text1"/>
          <w:kern w:val="0"/>
          <w:sz w:val="32"/>
          <w:szCs w:val="32"/>
        </w:rPr>
        <w:t> </w:t>
      </w:r>
      <w:r w:rsidRPr="007627FD">
        <w:rPr>
          <w:rFonts w:ascii="仿宋_GB2312" w:eastAsia="仿宋_GB2312" w:hAnsi="仿宋_GB2312" w:cs="仿宋_GB2312" w:hint="eastAsia"/>
          <w:color w:val="000000" w:themeColor="text1"/>
          <w:sz w:val="32"/>
          <w:szCs w:val="32"/>
        </w:rPr>
        <w:t>资金监管部门应当自收到开发企业重点监管资金使用申请之日起5个工作日内完成审核。对符合条件的，出具同意拨付证明，监管银行应当依据资金监管部门出具的同意拨付证明和传输的电子信息，于当日拨付监管资金；对不符合条件的，出具不予拨付通知书并书面说明理由。</w:t>
      </w:r>
      <w:r w:rsidRPr="007627FD">
        <w:rPr>
          <w:rFonts w:ascii="仿宋_GB2312" w:eastAsia="仿宋_GB2312" w:hAnsi="宋体" w:cs="宋体" w:hint="eastAsia"/>
          <w:color w:val="000000" w:themeColor="text1"/>
          <w:kern w:val="0"/>
          <w:sz w:val="32"/>
          <w:szCs w:val="32"/>
        </w:rPr>
        <w:t>。</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黑体" w:eastAsia="黑体" w:hAnsi="黑体" w:cs="宋体" w:hint="eastAsia"/>
          <w:color w:val="000000" w:themeColor="text1"/>
          <w:kern w:val="0"/>
          <w:sz w:val="32"/>
          <w:szCs w:val="32"/>
        </w:rPr>
        <w:t>第十五条</w:t>
      </w:r>
      <w:r w:rsidRPr="007627FD">
        <w:rPr>
          <w:rFonts w:ascii="宋体" w:eastAsia="宋体" w:hAnsi="宋体" w:cs="宋体" w:hint="eastAsia"/>
          <w:color w:val="000000" w:themeColor="text1"/>
          <w:kern w:val="0"/>
          <w:sz w:val="32"/>
          <w:szCs w:val="32"/>
        </w:rPr>
        <w:t> </w:t>
      </w:r>
      <w:r w:rsidRPr="007627FD">
        <w:rPr>
          <w:rFonts w:ascii="仿宋_GB2312" w:eastAsia="仿宋_GB2312" w:hAnsi="仿宋_GB2312" w:cs="仿宋_GB2312" w:hint="eastAsia"/>
          <w:color w:val="000000" w:themeColor="text1"/>
          <w:sz w:val="32"/>
          <w:szCs w:val="32"/>
        </w:rPr>
        <w:t>有关部门依法对监管专用账户的商品房预售资金进行冻结和扣划的，监管银行有义务按照监管协议约定，向有关部门提供商品房预售资金监管有关规定及监管协议等文件，以说明商品房预售资金及监管专用账户的性质，并书面告知监管部门。</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黑体" w:eastAsia="黑体" w:hAnsi="黑体" w:cs="宋体" w:hint="eastAsia"/>
          <w:color w:val="000000" w:themeColor="text1"/>
          <w:kern w:val="0"/>
          <w:sz w:val="32"/>
          <w:szCs w:val="32"/>
        </w:rPr>
        <w:t>第十六条</w:t>
      </w:r>
      <w:r w:rsidRPr="007627FD">
        <w:rPr>
          <w:rFonts w:ascii="宋体" w:eastAsia="宋体" w:hAnsi="宋体" w:cs="宋体" w:hint="eastAsia"/>
          <w:color w:val="000000" w:themeColor="text1"/>
          <w:kern w:val="0"/>
          <w:sz w:val="32"/>
          <w:szCs w:val="32"/>
        </w:rPr>
        <w:t> </w:t>
      </w:r>
      <w:r w:rsidRPr="007627FD">
        <w:rPr>
          <w:rFonts w:ascii="仿宋_GB2312" w:eastAsia="仿宋_GB2312" w:hAnsi="仿宋_GB2312" w:cs="仿宋_GB2312" w:hint="eastAsia"/>
          <w:color w:val="000000" w:themeColor="text1"/>
          <w:sz w:val="32"/>
          <w:szCs w:val="32"/>
        </w:rPr>
        <w:t>买受人与开发企业按照规定办理相关退房手续的，由开发企业自行结算退款，购房款应当自办理退房手续后7个工作日内予以退还。退还购房款后，开发企业可以通过监管系统申请提取该套房屋留存在监管专用账户中的剩余部分监管资金。</w:t>
      </w:r>
    </w:p>
    <w:p w:rsidR="009C3203" w:rsidRPr="007627FD" w:rsidRDefault="00805F1A">
      <w:pPr>
        <w:widowControl/>
        <w:shd w:val="clear" w:color="auto" w:fill="FFFFFF"/>
        <w:spacing w:line="560" w:lineRule="exact"/>
        <w:ind w:firstLine="645"/>
        <w:rPr>
          <w:rFonts w:ascii="宋体" w:eastAsia="宋体" w:hAnsi="宋体" w:cs="宋体"/>
          <w:color w:val="000000" w:themeColor="text1"/>
          <w:kern w:val="0"/>
          <w:sz w:val="27"/>
          <w:szCs w:val="27"/>
        </w:rPr>
      </w:pPr>
      <w:r w:rsidRPr="007627FD">
        <w:rPr>
          <w:rFonts w:ascii="黑体" w:eastAsia="黑体" w:hAnsi="黑体" w:cs="宋体" w:hint="eastAsia"/>
          <w:color w:val="000000" w:themeColor="text1"/>
          <w:kern w:val="0"/>
          <w:sz w:val="32"/>
          <w:szCs w:val="32"/>
        </w:rPr>
        <w:t>第十七条</w:t>
      </w:r>
      <w:r w:rsidRPr="007627FD">
        <w:rPr>
          <w:rFonts w:ascii="宋体" w:eastAsia="宋体" w:hAnsi="宋体" w:cs="宋体" w:hint="eastAsia"/>
          <w:color w:val="000000" w:themeColor="text1"/>
          <w:kern w:val="0"/>
          <w:sz w:val="32"/>
          <w:szCs w:val="32"/>
        </w:rPr>
        <w:t> </w:t>
      </w:r>
      <w:r w:rsidRPr="007627FD">
        <w:rPr>
          <w:rFonts w:ascii="仿宋_GB2312" w:eastAsia="仿宋_GB2312" w:hAnsi="宋体" w:cs="宋体" w:hint="eastAsia"/>
          <w:color w:val="000000" w:themeColor="text1"/>
          <w:kern w:val="0"/>
          <w:sz w:val="32"/>
          <w:szCs w:val="32"/>
        </w:rPr>
        <w:t>预售人提供虚假申报材料骗取工程建设资金，不按规定用途使用或挪用商品房预售资金监管专用账户内的款项以及直接收取商品房预售资金的，监管部门应当责令其限期改正，暂停商品房预售和预售资金拨付，并按照《城市商品房预售管理办法》的规定予以处罚，同时作为不良行为记入信用档案。</w:t>
      </w:r>
    </w:p>
    <w:p w:rsidR="0082235C" w:rsidRPr="007627FD" w:rsidRDefault="00805F1A">
      <w:pPr>
        <w:widowControl/>
        <w:shd w:val="clear" w:color="auto" w:fill="FFFFFF"/>
        <w:spacing w:line="560" w:lineRule="exact"/>
        <w:ind w:firstLine="645"/>
        <w:rPr>
          <w:rFonts w:ascii="仿宋_GB2312" w:eastAsia="仿宋_GB2312" w:hAnsi="宋体" w:cs="宋体"/>
          <w:color w:val="000000" w:themeColor="text1"/>
          <w:kern w:val="0"/>
          <w:sz w:val="32"/>
          <w:szCs w:val="32"/>
        </w:rPr>
      </w:pPr>
      <w:r w:rsidRPr="007627FD">
        <w:rPr>
          <w:rFonts w:ascii="黑体" w:eastAsia="黑体" w:hAnsi="黑体" w:cs="宋体" w:hint="eastAsia"/>
          <w:color w:val="000000" w:themeColor="text1"/>
          <w:kern w:val="0"/>
          <w:sz w:val="32"/>
          <w:szCs w:val="32"/>
        </w:rPr>
        <w:lastRenderedPageBreak/>
        <w:t>第十八条</w:t>
      </w:r>
      <w:r w:rsidRPr="007627FD">
        <w:rPr>
          <w:rFonts w:ascii="宋体" w:eastAsia="宋体" w:hAnsi="宋体" w:cs="宋体" w:hint="eastAsia"/>
          <w:color w:val="000000" w:themeColor="text1"/>
          <w:kern w:val="0"/>
          <w:sz w:val="32"/>
          <w:szCs w:val="32"/>
        </w:rPr>
        <w:t> </w:t>
      </w:r>
      <w:r w:rsidR="0082235C" w:rsidRPr="007627FD">
        <w:rPr>
          <w:rFonts w:ascii="仿宋_GB2312" w:eastAsia="仿宋_GB2312" w:hAnsi="宋体" w:cs="宋体" w:hint="eastAsia"/>
          <w:color w:val="000000" w:themeColor="text1"/>
          <w:kern w:val="0"/>
          <w:sz w:val="32"/>
          <w:szCs w:val="32"/>
        </w:rPr>
        <w:t>对于开发企业有下列情形之一的，由监管部门责令期限整改，整改期间暂停预售商品房网签备案系统使用权限：</w:t>
      </w:r>
    </w:p>
    <w:p w:rsidR="0082235C" w:rsidRPr="007627FD" w:rsidRDefault="0082235C" w:rsidP="0082235C">
      <w:pPr>
        <w:pStyle w:val="a7"/>
        <w:widowControl/>
        <w:numPr>
          <w:ilvl w:val="0"/>
          <w:numId w:val="1"/>
        </w:numPr>
        <w:shd w:val="clear" w:color="auto" w:fill="FFFFFF"/>
        <w:spacing w:line="560" w:lineRule="exact"/>
        <w:ind w:firstLineChars="0"/>
        <w:rPr>
          <w:rFonts w:ascii="仿宋_GB2312" w:eastAsia="仿宋_GB2312" w:hAnsi="宋体" w:cs="宋体"/>
          <w:color w:val="000000" w:themeColor="text1"/>
          <w:kern w:val="0"/>
          <w:sz w:val="32"/>
          <w:szCs w:val="32"/>
        </w:rPr>
      </w:pPr>
      <w:r w:rsidRPr="007627FD">
        <w:rPr>
          <w:rFonts w:ascii="仿宋_GB2312" w:eastAsia="仿宋_GB2312" w:hAnsi="宋体" w:cs="宋体" w:hint="eastAsia"/>
          <w:color w:val="000000" w:themeColor="text1"/>
          <w:kern w:val="0"/>
          <w:sz w:val="32"/>
          <w:szCs w:val="32"/>
        </w:rPr>
        <w:t>未按本办法规定收存或支取预收款；</w:t>
      </w:r>
    </w:p>
    <w:p w:rsidR="0082235C" w:rsidRPr="007627FD" w:rsidRDefault="0082235C" w:rsidP="0082235C">
      <w:pPr>
        <w:pStyle w:val="a7"/>
        <w:widowControl/>
        <w:numPr>
          <w:ilvl w:val="0"/>
          <w:numId w:val="1"/>
        </w:numPr>
        <w:shd w:val="clear" w:color="auto" w:fill="FFFFFF"/>
        <w:spacing w:line="560" w:lineRule="exact"/>
        <w:ind w:firstLineChars="0"/>
        <w:rPr>
          <w:rFonts w:ascii="仿宋_GB2312" w:eastAsia="仿宋_GB2312" w:hAnsi="宋体" w:cs="宋体"/>
          <w:color w:val="000000" w:themeColor="text1"/>
          <w:kern w:val="0"/>
          <w:sz w:val="32"/>
          <w:szCs w:val="32"/>
        </w:rPr>
      </w:pPr>
      <w:r w:rsidRPr="007627FD">
        <w:rPr>
          <w:rFonts w:ascii="仿宋_GB2312" w:eastAsia="仿宋_GB2312" w:hAnsi="宋体" w:cs="宋体" w:hint="eastAsia"/>
          <w:color w:val="000000" w:themeColor="text1"/>
          <w:kern w:val="0"/>
          <w:sz w:val="32"/>
          <w:szCs w:val="32"/>
        </w:rPr>
        <w:t>提供虚假证明材料申请支取监管额度内的预收款；</w:t>
      </w:r>
    </w:p>
    <w:p w:rsidR="0082235C" w:rsidRPr="007627FD" w:rsidRDefault="0082235C" w:rsidP="0082235C">
      <w:pPr>
        <w:pStyle w:val="a7"/>
        <w:widowControl/>
        <w:numPr>
          <w:ilvl w:val="0"/>
          <w:numId w:val="1"/>
        </w:numPr>
        <w:shd w:val="clear" w:color="auto" w:fill="FFFFFF"/>
        <w:spacing w:line="560" w:lineRule="exact"/>
        <w:ind w:firstLineChars="0"/>
        <w:rPr>
          <w:rFonts w:ascii="仿宋_GB2312" w:eastAsia="仿宋_GB2312" w:hAnsi="宋体" w:cs="宋体"/>
          <w:color w:val="000000" w:themeColor="text1"/>
          <w:kern w:val="0"/>
          <w:sz w:val="32"/>
          <w:szCs w:val="32"/>
        </w:rPr>
      </w:pPr>
      <w:r w:rsidRPr="007627FD">
        <w:rPr>
          <w:rFonts w:ascii="仿宋_GB2312" w:eastAsia="仿宋_GB2312" w:hAnsi="宋体" w:cs="宋体" w:hint="eastAsia"/>
          <w:color w:val="000000" w:themeColor="text1"/>
          <w:kern w:val="0"/>
          <w:sz w:val="32"/>
          <w:szCs w:val="32"/>
        </w:rPr>
        <w:t>其他违反预收款监管规定的行为。</w:t>
      </w:r>
    </w:p>
    <w:p w:rsidR="0082235C" w:rsidRPr="007627FD" w:rsidRDefault="0082235C" w:rsidP="0082235C">
      <w:pPr>
        <w:widowControl/>
        <w:shd w:val="clear" w:color="auto" w:fill="FFFFFF"/>
        <w:spacing w:line="560" w:lineRule="exact"/>
        <w:ind w:left="142" w:firstLineChars="150" w:firstLine="480"/>
        <w:jc w:val="left"/>
        <w:rPr>
          <w:rFonts w:ascii="仿宋_GB2312" w:eastAsia="仿宋_GB2312" w:hAnsi="宋体" w:cs="宋体"/>
          <w:color w:val="000000" w:themeColor="text1"/>
          <w:kern w:val="0"/>
          <w:sz w:val="32"/>
          <w:szCs w:val="32"/>
        </w:rPr>
      </w:pPr>
      <w:r w:rsidRPr="007627FD">
        <w:rPr>
          <w:rFonts w:ascii="仿宋_GB2312" w:eastAsia="仿宋_GB2312" w:hAnsi="宋体" w:cs="宋体" w:hint="eastAsia"/>
          <w:color w:val="000000" w:themeColor="text1"/>
          <w:kern w:val="0"/>
          <w:sz w:val="32"/>
          <w:szCs w:val="32"/>
        </w:rPr>
        <w:t>对逾期未整改到位的，按照相关规定，由监管部门通报批评，纳入十二师信用网公开披露并抄送企业总部；情节严重的，开发企业及相关负责人不得以企业或个人名义参加新的出让土地竞拍活动，不得申请审批新的建设项目，暂停办理新的项目预售许可。</w:t>
      </w:r>
    </w:p>
    <w:p w:rsidR="009C3203" w:rsidRPr="007627FD" w:rsidRDefault="00805F1A" w:rsidP="00805F1A">
      <w:pPr>
        <w:widowControl/>
        <w:shd w:val="clear" w:color="auto" w:fill="FFFFFF"/>
        <w:spacing w:line="560" w:lineRule="exact"/>
        <w:ind w:firstLineChars="200" w:firstLine="640"/>
        <w:rPr>
          <w:rFonts w:ascii="宋体" w:eastAsia="宋体" w:hAnsi="宋体" w:cs="宋体"/>
          <w:color w:val="000000" w:themeColor="text1"/>
          <w:kern w:val="0"/>
          <w:sz w:val="27"/>
          <w:szCs w:val="27"/>
        </w:rPr>
      </w:pPr>
      <w:r w:rsidRPr="007627FD">
        <w:rPr>
          <w:rFonts w:ascii="黑体" w:eastAsia="黑体" w:hAnsi="黑体" w:cs="宋体" w:hint="eastAsia"/>
          <w:color w:val="000000" w:themeColor="text1"/>
          <w:kern w:val="0"/>
          <w:sz w:val="32"/>
          <w:szCs w:val="32"/>
        </w:rPr>
        <w:t>第十九条</w:t>
      </w:r>
      <w:r w:rsidRPr="007627FD">
        <w:rPr>
          <w:rFonts w:ascii="宋体" w:eastAsia="宋体" w:hAnsi="宋体" w:cs="宋体" w:hint="eastAsia"/>
          <w:color w:val="000000" w:themeColor="text1"/>
          <w:kern w:val="0"/>
          <w:sz w:val="32"/>
          <w:szCs w:val="32"/>
        </w:rPr>
        <w:t> </w:t>
      </w:r>
      <w:r w:rsidRPr="007627FD">
        <w:rPr>
          <w:rFonts w:ascii="仿宋_GB2312" w:eastAsia="仿宋_GB2312" w:hAnsi="宋体" w:cs="宋体" w:hint="eastAsia"/>
          <w:color w:val="000000" w:themeColor="text1"/>
          <w:kern w:val="0"/>
          <w:sz w:val="32"/>
          <w:szCs w:val="32"/>
        </w:rPr>
        <w:t>监管银行擅自拨付预售人监管专用账户内款项、未将购房贷款直接划转至监管专用账户的，监管部门可按照协议约定，暂停该银行新开设监管专用账户业务。给买受人造成损失的，银行应当依法承担法律责任。</w:t>
      </w:r>
    </w:p>
    <w:p w:rsidR="009C3203" w:rsidRPr="007627FD" w:rsidRDefault="00805F1A">
      <w:pPr>
        <w:widowControl/>
        <w:shd w:val="clear" w:color="auto" w:fill="FFFFFF"/>
        <w:spacing w:line="560" w:lineRule="exact"/>
        <w:ind w:firstLine="645"/>
        <w:rPr>
          <w:rFonts w:ascii="宋体" w:eastAsia="宋体" w:hAnsi="宋体" w:cs="宋体"/>
          <w:color w:val="000000" w:themeColor="text1"/>
          <w:kern w:val="0"/>
          <w:sz w:val="27"/>
          <w:szCs w:val="27"/>
        </w:rPr>
      </w:pPr>
      <w:r w:rsidRPr="007627FD">
        <w:rPr>
          <w:rFonts w:ascii="黑体" w:eastAsia="黑体" w:hAnsi="黑体" w:cs="宋体" w:hint="eastAsia"/>
          <w:color w:val="000000" w:themeColor="text1"/>
          <w:kern w:val="0"/>
          <w:sz w:val="32"/>
          <w:szCs w:val="32"/>
        </w:rPr>
        <w:t>第二十条</w:t>
      </w:r>
      <w:r w:rsidRPr="007627FD">
        <w:rPr>
          <w:rFonts w:ascii="宋体" w:eastAsia="宋体" w:hAnsi="宋体" w:cs="宋体" w:hint="eastAsia"/>
          <w:color w:val="000000" w:themeColor="text1"/>
          <w:kern w:val="0"/>
          <w:sz w:val="32"/>
          <w:szCs w:val="32"/>
        </w:rPr>
        <w:t> </w:t>
      </w:r>
      <w:r w:rsidRPr="007627FD">
        <w:rPr>
          <w:rFonts w:ascii="仿宋_GB2312" w:eastAsia="仿宋_GB2312" w:hAnsi="宋体" w:cs="宋体" w:hint="eastAsia"/>
          <w:color w:val="000000" w:themeColor="text1"/>
          <w:kern w:val="0"/>
          <w:sz w:val="32"/>
          <w:szCs w:val="32"/>
        </w:rPr>
        <w:t>监管部门工作人员</w:t>
      </w:r>
      <w:r w:rsidR="00E318EF" w:rsidRPr="007627FD">
        <w:rPr>
          <w:rFonts w:ascii="仿宋_GB2312" w:eastAsia="仿宋_GB2312" w:hAnsi="宋体" w:cs="宋体" w:hint="eastAsia"/>
          <w:color w:val="000000" w:themeColor="text1"/>
          <w:kern w:val="0"/>
          <w:sz w:val="32"/>
          <w:szCs w:val="32"/>
        </w:rPr>
        <w:t>滥用职权、玩忽职守、弄虚作假、泄露工作秘密的，</w:t>
      </w:r>
      <w:r w:rsidRPr="007627FD">
        <w:rPr>
          <w:rFonts w:ascii="仿宋_GB2312" w:eastAsia="仿宋_GB2312" w:hAnsi="宋体" w:cs="宋体" w:hint="eastAsia"/>
          <w:color w:val="000000" w:themeColor="text1"/>
          <w:kern w:val="0"/>
          <w:sz w:val="32"/>
          <w:szCs w:val="32"/>
        </w:rPr>
        <w:t>有应当核准拨付资金而不及时核准、不应当核准拨付资金而核准等情形的，依法予以行政处分；涉嫌犯罪的，依法移送司法机关追究刑事责任。</w:t>
      </w:r>
    </w:p>
    <w:p w:rsidR="009C3203" w:rsidRPr="007627FD" w:rsidRDefault="00805F1A">
      <w:pPr>
        <w:widowControl/>
        <w:shd w:val="clear" w:color="auto" w:fill="FFFFFF"/>
        <w:spacing w:line="560" w:lineRule="exact"/>
        <w:ind w:firstLine="645"/>
        <w:rPr>
          <w:rFonts w:ascii="宋体" w:eastAsia="宋体" w:hAnsi="宋体" w:cs="宋体"/>
          <w:color w:val="000000" w:themeColor="text1"/>
          <w:kern w:val="0"/>
          <w:sz w:val="27"/>
          <w:szCs w:val="27"/>
        </w:rPr>
      </w:pPr>
      <w:r w:rsidRPr="007627FD">
        <w:rPr>
          <w:rFonts w:ascii="黑体" w:eastAsia="黑体" w:hAnsi="黑体" w:cs="宋体" w:hint="eastAsia"/>
          <w:color w:val="000000" w:themeColor="text1"/>
          <w:kern w:val="0"/>
          <w:sz w:val="32"/>
          <w:szCs w:val="32"/>
        </w:rPr>
        <w:t>第二十一条</w:t>
      </w:r>
      <w:r w:rsidRPr="007627FD">
        <w:rPr>
          <w:rFonts w:ascii="宋体" w:eastAsia="宋体" w:hAnsi="宋体" w:cs="宋体" w:hint="eastAsia"/>
          <w:color w:val="000000" w:themeColor="text1"/>
          <w:kern w:val="0"/>
          <w:sz w:val="32"/>
          <w:szCs w:val="32"/>
        </w:rPr>
        <w:t> </w:t>
      </w:r>
      <w:r w:rsidRPr="007627FD">
        <w:rPr>
          <w:rFonts w:ascii="仿宋_GB2312" w:eastAsia="仿宋_GB2312" w:hAnsi="宋体" w:cs="宋体" w:hint="eastAsia"/>
          <w:color w:val="000000" w:themeColor="text1"/>
          <w:kern w:val="0"/>
          <w:sz w:val="32"/>
          <w:szCs w:val="32"/>
        </w:rPr>
        <w:t>监管部门应当依据本办法制定实施细则，明确工作流程、办事程序，提高工作效率。</w:t>
      </w:r>
    </w:p>
    <w:p w:rsidR="009C3203" w:rsidRPr="007627FD" w:rsidRDefault="00805F1A">
      <w:pPr>
        <w:spacing w:line="560" w:lineRule="exact"/>
        <w:ind w:firstLineChars="200" w:firstLine="640"/>
        <w:rPr>
          <w:rFonts w:ascii="仿宋_GB2312" w:eastAsia="仿宋_GB2312" w:hAnsi="仿宋_GB2312" w:cs="仿宋_GB2312"/>
          <w:color w:val="000000" w:themeColor="text1"/>
          <w:sz w:val="32"/>
          <w:szCs w:val="32"/>
        </w:rPr>
      </w:pPr>
      <w:r w:rsidRPr="007627FD">
        <w:rPr>
          <w:rFonts w:ascii="黑体" w:eastAsia="黑体" w:hAnsi="黑体" w:cs="宋体" w:hint="eastAsia"/>
          <w:color w:val="000000" w:themeColor="text1"/>
          <w:kern w:val="0"/>
          <w:sz w:val="32"/>
          <w:szCs w:val="32"/>
        </w:rPr>
        <w:t>第二十二条</w:t>
      </w:r>
      <w:r w:rsidRPr="007627FD">
        <w:rPr>
          <w:rFonts w:ascii="Times New Roman" w:eastAsia="宋体" w:hAnsi="Times New Roman" w:cs="Times New Roman"/>
          <w:color w:val="000000" w:themeColor="text1"/>
          <w:kern w:val="0"/>
          <w:sz w:val="32"/>
          <w:szCs w:val="32"/>
        </w:rPr>
        <w:t> </w:t>
      </w:r>
      <w:r w:rsidRPr="007627FD">
        <w:rPr>
          <w:rFonts w:ascii="Times New Roman" w:eastAsia="宋体" w:hAnsi="Times New Roman" w:cs="Times New Roman" w:hint="eastAsia"/>
          <w:color w:val="000000" w:themeColor="text1"/>
          <w:kern w:val="0"/>
          <w:sz w:val="32"/>
          <w:szCs w:val="32"/>
        </w:rPr>
        <w:t xml:space="preserve"> </w:t>
      </w:r>
      <w:r w:rsidRPr="007627FD">
        <w:rPr>
          <w:rFonts w:ascii="仿宋_GB2312" w:eastAsia="仿宋_GB2312" w:hAnsi="宋体" w:cs="宋体" w:hint="eastAsia"/>
          <w:color w:val="000000" w:themeColor="text1"/>
          <w:kern w:val="0"/>
          <w:sz w:val="32"/>
          <w:szCs w:val="32"/>
        </w:rPr>
        <w:t>本办法</w:t>
      </w:r>
      <w:r w:rsidRPr="007627FD">
        <w:rPr>
          <w:rFonts w:ascii="仿宋_GB2312" w:eastAsia="仿宋_GB2312" w:hAnsi="仿宋_GB2312" w:cs="仿宋_GB2312" w:hint="eastAsia"/>
          <w:color w:val="000000" w:themeColor="text1"/>
          <w:sz w:val="32"/>
          <w:szCs w:val="32"/>
        </w:rPr>
        <w:t>自2020年XX月XXX日起施行。</w:t>
      </w:r>
      <w:r w:rsidR="000F16B5" w:rsidRPr="007627FD">
        <w:rPr>
          <w:rFonts w:ascii="仿宋_GB2312" w:eastAsia="仿宋_GB2312" w:hAnsi="仿宋_GB2312" w:cs="仿宋_GB2312" w:hint="eastAsia"/>
          <w:color w:val="000000" w:themeColor="text1"/>
          <w:sz w:val="32"/>
          <w:szCs w:val="32"/>
        </w:rPr>
        <w:t>开发企业开发建设的保障性住房、人才公寓、拆迁安置项目和建筑区划</w:t>
      </w:r>
      <w:r w:rsidR="000F16B5" w:rsidRPr="007627FD">
        <w:rPr>
          <w:rFonts w:ascii="仿宋_GB2312" w:eastAsia="仿宋_GB2312" w:hAnsi="仿宋_GB2312" w:cs="仿宋_GB2312" w:hint="eastAsia"/>
          <w:color w:val="000000" w:themeColor="text1"/>
          <w:sz w:val="32"/>
          <w:szCs w:val="32"/>
        </w:rPr>
        <w:lastRenderedPageBreak/>
        <w:t>内按规划配件的停车位不执行本办法</w:t>
      </w:r>
      <w:r w:rsidR="0082235C" w:rsidRPr="007627FD">
        <w:rPr>
          <w:rFonts w:ascii="仿宋_GB2312" w:eastAsia="仿宋_GB2312" w:hAnsi="仿宋_GB2312" w:cs="仿宋_GB2312" w:hint="eastAsia"/>
          <w:color w:val="000000" w:themeColor="text1"/>
          <w:sz w:val="32"/>
          <w:szCs w:val="32"/>
        </w:rPr>
        <w:t>。此前十二师预收款监管规定与本办法不一致的，以本办法为准。</w:t>
      </w:r>
    </w:p>
    <w:p w:rsidR="009C3203" w:rsidRPr="007627FD" w:rsidRDefault="00805F1A">
      <w:pPr>
        <w:widowControl/>
        <w:shd w:val="clear" w:color="auto" w:fill="FFFFFF"/>
        <w:spacing w:line="560" w:lineRule="exact"/>
        <w:ind w:firstLine="645"/>
        <w:rPr>
          <w:rFonts w:ascii="仿宋_GB2312" w:eastAsia="仿宋_GB2312" w:hAnsi="宋体" w:cs="宋体"/>
          <w:color w:val="000000" w:themeColor="text1"/>
          <w:kern w:val="0"/>
          <w:sz w:val="32"/>
          <w:szCs w:val="32"/>
        </w:rPr>
      </w:pPr>
      <w:r w:rsidRPr="007627FD">
        <w:rPr>
          <w:rFonts w:ascii="仿宋_GB2312" w:eastAsia="仿宋_GB2312" w:hAnsi="宋体" w:cs="宋体" w:hint="eastAsia"/>
          <w:color w:val="000000" w:themeColor="text1"/>
          <w:kern w:val="0"/>
          <w:sz w:val="32"/>
          <w:szCs w:val="32"/>
        </w:rPr>
        <w:t>。</w:t>
      </w:r>
    </w:p>
    <w:p w:rsidR="009C3203" w:rsidRPr="007627FD" w:rsidRDefault="009C3203">
      <w:pPr>
        <w:widowControl/>
        <w:shd w:val="clear" w:color="auto" w:fill="FFFFFF"/>
        <w:spacing w:line="560" w:lineRule="exact"/>
        <w:ind w:firstLine="645"/>
        <w:rPr>
          <w:rFonts w:ascii="仿宋_GB2312" w:eastAsia="仿宋_GB2312" w:hAnsi="宋体" w:cs="宋体"/>
          <w:color w:val="000000" w:themeColor="text1"/>
          <w:kern w:val="0"/>
          <w:sz w:val="32"/>
          <w:szCs w:val="32"/>
        </w:rPr>
      </w:pPr>
    </w:p>
    <w:p w:rsidR="009C3203" w:rsidRPr="007627FD" w:rsidRDefault="009C3203">
      <w:pPr>
        <w:widowControl/>
        <w:shd w:val="clear" w:color="auto" w:fill="FFFFFF"/>
        <w:spacing w:line="560" w:lineRule="exact"/>
        <w:ind w:firstLine="645"/>
        <w:rPr>
          <w:rFonts w:ascii="仿宋_GB2312" w:eastAsia="仿宋_GB2312" w:hAnsi="宋体" w:cs="宋体"/>
          <w:color w:val="000000" w:themeColor="text1"/>
          <w:kern w:val="0"/>
          <w:sz w:val="32"/>
          <w:szCs w:val="32"/>
        </w:rPr>
      </w:pPr>
    </w:p>
    <w:p w:rsidR="009C3203" w:rsidRPr="007627FD" w:rsidRDefault="009C3203">
      <w:pPr>
        <w:widowControl/>
        <w:shd w:val="clear" w:color="auto" w:fill="FFFFFF"/>
        <w:spacing w:line="560" w:lineRule="exact"/>
        <w:ind w:firstLine="645"/>
        <w:rPr>
          <w:rFonts w:ascii="仿宋_GB2312" w:eastAsia="仿宋_GB2312" w:hAnsi="宋体" w:cs="宋体"/>
          <w:color w:val="000000" w:themeColor="text1"/>
          <w:kern w:val="0"/>
          <w:sz w:val="32"/>
          <w:szCs w:val="32"/>
        </w:rPr>
      </w:pPr>
    </w:p>
    <w:p w:rsidR="009C3203" w:rsidRPr="007627FD" w:rsidRDefault="009C3203">
      <w:pPr>
        <w:spacing w:line="560" w:lineRule="exact"/>
        <w:rPr>
          <w:color w:val="000000" w:themeColor="text1"/>
        </w:rPr>
      </w:pPr>
    </w:p>
    <w:p w:rsidR="009C3203" w:rsidRPr="007627FD" w:rsidRDefault="009C3203">
      <w:pPr>
        <w:spacing w:line="560" w:lineRule="exact"/>
        <w:rPr>
          <w:color w:val="000000" w:themeColor="text1"/>
        </w:rPr>
      </w:pPr>
    </w:p>
    <w:sectPr w:rsidR="009C3203" w:rsidRPr="007627FD" w:rsidSect="009C3203">
      <w:footerReference w:type="default" r:id="rId8"/>
      <w:pgSz w:w="11906" w:h="16838"/>
      <w:pgMar w:top="2098" w:right="1474" w:bottom="1985"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203" w:rsidRDefault="009C3203" w:rsidP="009C3203">
      <w:r>
        <w:separator/>
      </w:r>
    </w:p>
  </w:endnote>
  <w:endnote w:type="continuationSeparator" w:id="0">
    <w:p w:rsidR="009C3203" w:rsidRDefault="009C3203" w:rsidP="009C3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03" w:rsidRDefault="0071368B">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9C3203" w:rsidRDefault="00805F1A">
                <w:pPr>
                  <w:pStyle w:val="a4"/>
                </w:pPr>
                <w:r>
                  <w:rPr>
                    <w:rFonts w:hint="eastAsia"/>
                  </w:rPr>
                  <w:t>第</w:t>
                </w:r>
                <w:r>
                  <w:rPr>
                    <w:rFonts w:hint="eastAsia"/>
                  </w:rPr>
                  <w:t xml:space="preserve"> </w:t>
                </w:r>
                <w:r w:rsidR="0071368B">
                  <w:rPr>
                    <w:rFonts w:hint="eastAsia"/>
                  </w:rPr>
                  <w:fldChar w:fldCharType="begin"/>
                </w:r>
                <w:r>
                  <w:rPr>
                    <w:rFonts w:hint="eastAsia"/>
                  </w:rPr>
                  <w:instrText xml:space="preserve"> PAGE  \* MERGEFORMAT </w:instrText>
                </w:r>
                <w:r w:rsidR="0071368B">
                  <w:rPr>
                    <w:rFonts w:hint="eastAsia"/>
                  </w:rPr>
                  <w:fldChar w:fldCharType="separate"/>
                </w:r>
                <w:r w:rsidR="007627FD">
                  <w:rPr>
                    <w:noProof/>
                  </w:rPr>
                  <w:t>6</w:t>
                </w:r>
                <w:r w:rsidR="0071368B">
                  <w:rPr>
                    <w:rFonts w:hint="eastAsia"/>
                  </w:rPr>
                  <w:fldChar w:fldCharType="end"/>
                </w:r>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203" w:rsidRDefault="009C3203" w:rsidP="009C3203">
      <w:r>
        <w:separator/>
      </w:r>
    </w:p>
  </w:footnote>
  <w:footnote w:type="continuationSeparator" w:id="0">
    <w:p w:rsidR="009C3203" w:rsidRDefault="009C3203" w:rsidP="009C32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43B14"/>
    <w:multiLevelType w:val="hybridMultilevel"/>
    <w:tmpl w:val="9FF03266"/>
    <w:lvl w:ilvl="0" w:tplc="E0FEEB54">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5871226"/>
    <w:rsid w:val="000F16B5"/>
    <w:rsid w:val="003C1C0F"/>
    <w:rsid w:val="005209AE"/>
    <w:rsid w:val="005E7FB0"/>
    <w:rsid w:val="00616A2A"/>
    <w:rsid w:val="0071368B"/>
    <w:rsid w:val="007627FD"/>
    <w:rsid w:val="00805F1A"/>
    <w:rsid w:val="0082235C"/>
    <w:rsid w:val="009C3203"/>
    <w:rsid w:val="00A156A6"/>
    <w:rsid w:val="00B14A1B"/>
    <w:rsid w:val="00BA5A3D"/>
    <w:rsid w:val="00C21A7E"/>
    <w:rsid w:val="00C66173"/>
    <w:rsid w:val="00E318EF"/>
    <w:rsid w:val="00ED3DE1"/>
    <w:rsid w:val="00F91889"/>
    <w:rsid w:val="0E146D1A"/>
    <w:rsid w:val="100A41CC"/>
    <w:rsid w:val="1D95586A"/>
    <w:rsid w:val="26283BF2"/>
    <w:rsid w:val="3709148E"/>
    <w:rsid w:val="57036AE1"/>
    <w:rsid w:val="65871226"/>
    <w:rsid w:val="788634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320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C3203"/>
    <w:pPr>
      <w:spacing w:after="240"/>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C3203"/>
    <w:pPr>
      <w:jc w:val="left"/>
    </w:pPr>
  </w:style>
  <w:style w:type="paragraph" w:styleId="a4">
    <w:name w:val="footer"/>
    <w:basedOn w:val="a"/>
    <w:qFormat/>
    <w:rsid w:val="009C3203"/>
    <w:pPr>
      <w:tabs>
        <w:tab w:val="center" w:pos="4153"/>
        <w:tab w:val="right" w:pos="8306"/>
      </w:tabs>
      <w:snapToGrid w:val="0"/>
      <w:jc w:val="left"/>
    </w:pPr>
    <w:rPr>
      <w:sz w:val="18"/>
    </w:rPr>
  </w:style>
  <w:style w:type="paragraph" w:styleId="a5">
    <w:name w:val="header"/>
    <w:basedOn w:val="a"/>
    <w:link w:val="Char"/>
    <w:rsid w:val="009C3203"/>
    <w:pPr>
      <w:pBdr>
        <w:bottom w:val="single" w:sz="6" w:space="1" w:color="auto"/>
      </w:pBdr>
      <w:tabs>
        <w:tab w:val="center" w:pos="4153"/>
        <w:tab w:val="right" w:pos="8306"/>
      </w:tabs>
      <w:snapToGrid w:val="0"/>
      <w:jc w:val="center"/>
    </w:pPr>
    <w:rPr>
      <w:sz w:val="18"/>
      <w:szCs w:val="18"/>
    </w:rPr>
  </w:style>
  <w:style w:type="character" w:styleId="a6">
    <w:name w:val="annotation reference"/>
    <w:basedOn w:val="a0"/>
    <w:qFormat/>
    <w:rsid w:val="009C3203"/>
    <w:rPr>
      <w:sz w:val="21"/>
      <w:szCs w:val="21"/>
    </w:rPr>
  </w:style>
  <w:style w:type="paragraph" w:styleId="a7">
    <w:name w:val="List Paragraph"/>
    <w:basedOn w:val="a"/>
    <w:uiPriority w:val="99"/>
    <w:qFormat/>
    <w:rsid w:val="009C3203"/>
    <w:pPr>
      <w:ind w:firstLineChars="200" w:firstLine="420"/>
    </w:pPr>
  </w:style>
  <w:style w:type="character" w:customStyle="1" w:styleId="Char">
    <w:name w:val="页眉 Char"/>
    <w:basedOn w:val="a0"/>
    <w:link w:val="a5"/>
    <w:rsid w:val="009C320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2514</Words>
  <Characters>83</Characters>
  <Application>Microsoft Office Word</Application>
  <DocSecurity>0</DocSecurity>
  <Lines>1</Lines>
  <Paragraphs>5</Paragraphs>
  <ScaleCrop>false</ScaleCrop>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2020-12-28T02:41:00Z</cp:lastPrinted>
  <dcterms:created xsi:type="dcterms:W3CDTF">2020-12-17T04:58:00Z</dcterms:created>
  <dcterms:modified xsi:type="dcterms:W3CDTF">2020-12-28T02:41:00Z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