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18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师环审字〔202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〕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44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号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关于西山特种设备检验检测中心建设项目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环境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影响报告表的批复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新疆维吾尔自治区特种设备检验研究院：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你单位报送的由新疆清风朗月环保科技有限公司编制的《西山特种设备检验检测中心建设项</w:t>
      </w:r>
      <w:bookmarkStart w:id="1" w:name="_GoBack"/>
      <w:bookmarkEnd w:id="1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目环境影响报告表》（以下简称《报告表》）收悉。经研究，现批复如下：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项目位于</w:t>
      </w:r>
      <w:bookmarkStart w:id="0" w:name="_Hlk130920121"/>
      <w:r>
        <w:rPr>
          <w:rFonts w:hint="eastAsia" w:ascii="Times New Roman" w:hAnsi="Times New Roman" w:eastAsia="仿宋_GB2312"/>
          <w:sz w:val="32"/>
          <w:szCs w:val="32"/>
          <w:highlight w:val="none"/>
        </w:rPr>
        <w:t>兵团乌鲁木齐工业园</w:t>
      </w:r>
      <w:bookmarkEnd w:id="0"/>
      <w:r>
        <w:rPr>
          <w:rFonts w:hint="eastAsia" w:ascii="Times New Roman" w:hAnsi="Times New Roman" w:eastAsia="仿宋_GB2312"/>
          <w:sz w:val="32"/>
          <w:szCs w:val="32"/>
          <w:highlight w:val="none"/>
        </w:rPr>
        <w:t>区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项目区西至八钢路、东至桃李路、北至文竹二街、南至迎春街。中心地理坐标为</w:t>
      </w:r>
      <w:r>
        <w:rPr>
          <w:rFonts w:ascii="Times New Roman" w:hAnsi="Times New Roman" w:eastAsia="仿宋_GB2312"/>
          <w:sz w:val="32"/>
          <w:szCs w:val="32"/>
          <w:u w:val="none" w:color="000000"/>
        </w:rPr>
        <w:t>东经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000000"/>
        </w:rPr>
        <w:t>87°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000000"/>
          <w:lang w:val="en-US" w:eastAsia="zh-CN"/>
        </w:rPr>
        <w:t>2</w:t>
      </w:r>
      <w:r>
        <w:rPr>
          <w:rFonts w:hint="eastAsia" w:eastAsia="仿宋_GB2312" w:cs="Times New Roman"/>
          <w:sz w:val="32"/>
          <w:szCs w:val="32"/>
          <w:u w:val="none" w:color="000000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000000"/>
        </w:rPr>
        <w:t>′</w:t>
      </w:r>
      <w:r>
        <w:rPr>
          <w:rFonts w:hint="eastAsia" w:eastAsia="仿宋_GB2312" w:cs="Times New Roman"/>
          <w:sz w:val="32"/>
          <w:szCs w:val="32"/>
          <w:u w:val="none" w:color="000000"/>
          <w:lang w:val="en-US" w:eastAsia="zh-CN"/>
        </w:rPr>
        <w:t>50.767</w:t>
      </w:r>
      <w:r>
        <w:rPr>
          <w:rFonts w:hint="default" w:ascii="Times New Roman" w:hAnsi="Times New Roman" w:eastAsia="仿宋_GB2312" w:cs="Times New Roman"/>
          <w:color w:val="auto"/>
          <w:spacing w:val="-10"/>
          <w:sz w:val="32"/>
          <w:szCs w:val="32"/>
        </w:rPr>
        <w:t>″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000000"/>
        </w:rPr>
        <w:t>，北纬</w:t>
      </w:r>
      <w:r>
        <w:rPr>
          <w:rFonts w:hint="default" w:ascii="Times New Roman" w:hAnsi="Times New Roman" w:eastAsia="仿宋_GB2312" w:cs="Times New Roman"/>
          <w:color w:val="auto"/>
          <w:spacing w:val="-10"/>
          <w:sz w:val="32"/>
          <w:szCs w:val="32"/>
        </w:rPr>
        <w:t>4</w:t>
      </w:r>
      <w:r>
        <w:rPr>
          <w:rFonts w:hint="eastAsia" w:eastAsia="仿宋_GB2312" w:cs="Times New Roman"/>
          <w:color w:val="auto"/>
          <w:spacing w:val="-1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pacing w:val="-10"/>
          <w:sz w:val="32"/>
          <w:szCs w:val="32"/>
        </w:rPr>
        <w:t>°</w:t>
      </w:r>
      <w:r>
        <w:rPr>
          <w:rFonts w:hint="eastAsia" w:eastAsia="仿宋_GB2312" w:cs="Times New Roman"/>
          <w:color w:val="auto"/>
          <w:spacing w:val="-10"/>
          <w:sz w:val="32"/>
          <w:szCs w:val="32"/>
          <w:lang w:val="en-US" w:eastAsia="zh-CN"/>
        </w:rPr>
        <w:t>44</w:t>
      </w:r>
      <w:r>
        <w:rPr>
          <w:rFonts w:hint="default" w:ascii="Times New Roman" w:hAnsi="Times New Roman" w:eastAsia="仿宋_GB2312" w:cs="Times New Roman"/>
          <w:color w:val="auto"/>
          <w:spacing w:val="-10"/>
          <w:sz w:val="32"/>
          <w:szCs w:val="32"/>
        </w:rPr>
        <w:t>′</w:t>
      </w:r>
      <w:r>
        <w:rPr>
          <w:rFonts w:hint="eastAsia" w:eastAsia="仿宋_GB2312" w:cs="Times New Roman"/>
          <w:color w:val="auto"/>
          <w:spacing w:val="-10"/>
          <w:sz w:val="32"/>
          <w:szCs w:val="32"/>
          <w:lang w:val="en-US" w:eastAsia="zh-CN"/>
        </w:rPr>
        <w:t>2.135</w:t>
      </w:r>
      <w:r>
        <w:rPr>
          <w:rFonts w:hint="default" w:ascii="Times New Roman" w:hAnsi="Times New Roman" w:eastAsia="仿宋_GB2312" w:cs="Times New Roman"/>
          <w:color w:val="auto"/>
          <w:spacing w:val="-10"/>
          <w:sz w:val="32"/>
          <w:szCs w:val="32"/>
        </w:rPr>
        <w:t>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建设内容：</w:t>
      </w:r>
      <w:r>
        <w:rPr>
          <w:rFonts w:hint="eastAsia" w:eastAsia="仿宋_GB2312"/>
          <w:sz w:val="32"/>
          <w:szCs w:val="32"/>
          <w:lang w:val="en-US" w:eastAsia="zh-CN"/>
        </w:rPr>
        <w:t>项目占地面积</w:t>
      </w:r>
      <w:r>
        <w:rPr>
          <w:rFonts w:hint="eastAsia" w:eastAsia="仿宋_GB2312"/>
          <w:sz w:val="32"/>
          <w:szCs w:val="32"/>
        </w:rPr>
        <w:t>50074.46</w:t>
      </w:r>
      <w:r>
        <w:rPr>
          <w:rFonts w:hint="eastAsia" w:eastAsia="仿宋_GB2312"/>
          <w:sz w:val="32"/>
          <w:szCs w:val="32"/>
          <w:lang w:val="en-US" w:eastAsia="zh-CN"/>
        </w:rPr>
        <w:t>平方米，建筑面积28532.48平方米，新建5栋车间，1栋综合楼，配套锅炉房、空压机房、变配电室、设备间、门卫房、压缩机房及特检车辆停车棚等。项目建成后可年检LPG罐车729辆、CNG长管拖车2000辆、低温罐车532辆、常压（危化品）储罐车2543辆、阀门校验及检修26000支，若检验车辆罐体不合格时可在厂内进行维修。配套建设2个30立方米液氮立式储罐、2个20立方米LPG埋地卧式储罐（1用1备）和CNG储气瓶组（12立方米，9.8兆帕）。新建2台（1台1.0兆瓦、1台2.2兆瓦）电热水锅炉用于冬季供热，1台1吨/小时燃气蒸汽锅炉为蒸汽吹扫提供工艺蒸汽。建设一体化污水处理设施1座，设计处理规模10立方米/天，工艺为“隔油+气浮+过滤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项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投资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10700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万元，其中环保投资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166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根据《报告表》的评价结论、技术审查意见，在全面落实报告表中提出的各项污染防治、环境保护和风险防控措施后，对环境的不利影响能够得到减缓和控制。从环境保护的角度考虑，原则上同意该项目《报告表》所列地点、性质、规模，采用的生产工艺及环境保护措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建设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三、项目运行管理中应重点做好的工作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加强施工期的环境保护管理。防止施工期废水、扬尘、固体废物和噪声对周围环境产生不利影响。加强对施工过程的管理，落实“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个百分百”扬尘污染防治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和施工道路常态化清洁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措施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拉运散装物料的车辆加盖篷布，防止散落。，施工结束后，做好场地平整和生态恢复。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落实废气污染防治措施。运营期主要为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打磨、抛丸废气，有机废气，吹扫废气及锅炉废气。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打磨、抛丸废气经集气罩收集后</w:t>
      </w:r>
      <w:r>
        <w:rPr>
          <w:rFonts w:hint="eastAsia" w:eastAsia="仿宋_GB2312"/>
          <w:sz w:val="32"/>
          <w:szCs w:val="32"/>
          <w:lang w:eastAsia="zh-CN"/>
        </w:rPr>
        <w:t>经</w:t>
      </w:r>
      <w:r>
        <w:rPr>
          <w:rFonts w:hint="eastAsia" w:eastAsia="仿宋_GB2312"/>
          <w:sz w:val="32"/>
          <w:szCs w:val="32"/>
        </w:rPr>
        <w:t>袋式除尘处理器处理</w:t>
      </w:r>
      <w:r>
        <w:rPr>
          <w:rFonts w:hint="eastAsia" w:eastAsia="仿宋_GB2312"/>
          <w:sz w:val="32"/>
          <w:szCs w:val="32"/>
          <w:lang w:eastAsia="zh-CN"/>
        </w:rPr>
        <w:t>由</w:t>
      </w:r>
      <w:r>
        <w:rPr>
          <w:rFonts w:eastAsia="仿宋_GB2312"/>
          <w:sz w:val="32"/>
          <w:szCs w:val="32"/>
        </w:rPr>
        <w:t>15</w:t>
      </w:r>
      <w:r>
        <w:rPr>
          <w:rFonts w:hint="eastAsia" w:eastAsia="仿宋_GB2312"/>
          <w:sz w:val="32"/>
          <w:szCs w:val="32"/>
          <w:lang w:eastAsia="zh-CN"/>
        </w:rPr>
        <w:t>米</w:t>
      </w:r>
      <w:r>
        <w:rPr>
          <w:rFonts w:eastAsia="仿宋_GB2312"/>
          <w:sz w:val="32"/>
          <w:szCs w:val="32"/>
        </w:rPr>
        <w:t>高排气筒</w:t>
      </w:r>
      <w:r>
        <w:rPr>
          <w:rFonts w:hint="eastAsia" w:eastAsia="仿宋_GB2312"/>
          <w:sz w:val="32"/>
          <w:szCs w:val="32"/>
        </w:rPr>
        <w:t>（DA001）排放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/>
          <w:spacing w:val="-10"/>
          <w:sz w:val="32"/>
          <w:szCs w:val="32"/>
          <w:u w:val="none" w:color="000000"/>
          <w:lang w:eastAsia="zh-CN"/>
        </w:rPr>
        <w:t>有机废气</w:t>
      </w:r>
      <w:r>
        <w:rPr>
          <w:rFonts w:eastAsia="仿宋_GB2312"/>
          <w:sz w:val="32"/>
          <w:szCs w:val="32"/>
        </w:rPr>
        <w:t>经密闭喷漆房负压收集后</w:t>
      </w:r>
      <w:r>
        <w:rPr>
          <w:rFonts w:hint="eastAsia" w:eastAsia="仿宋_GB2312"/>
          <w:sz w:val="32"/>
          <w:szCs w:val="32"/>
          <w:lang w:eastAsia="zh-CN"/>
        </w:rPr>
        <w:t>通过</w:t>
      </w:r>
      <w:r>
        <w:rPr>
          <w:rFonts w:hint="eastAsia" w:eastAsia="仿宋_GB2312"/>
          <w:sz w:val="32"/>
          <w:szCs w:val="32"/>
        </w:rPr>
        <w:t>“干式过滤+催化燃烧法（RCO）处理装置”</w:t>
      </w:r>
      <w:r>
        <w:rPr>
          <w:rFonts w:eastAsia="仿宋_GB2312"/>
          <w:sz w:val="32"/>
          <w:szCs w:val="32"/>
        </w:rPr>
        <w:t>处理后</w:t>
      </w:r>
      <w:r>
        <w:rPr>
          <w:rFonts w:hint="eastAsia" w:eastAsia="仿宋_GB2312"/>
          <w:sz w:val="32"/>
          <w:szCs w:val="32"/>
          <w:lang w:eastAsia="zh-CN"/>
        </w:rPr>
        <w:t>由</w:t>
      </w:r>
      <w:r>
        <w:rPr>
          <w:rFonts w:eastAsia="仿宋_GB2312"/>
          <w:sz w:val="32"/>
          <w:szCs w:val="32"/>
        </w:rPr>
        <w:t>15</w:t>
      </w:r>
      <w:r>
        <w:rPr>
          <w:rFonts w:hint="eastAsia" w:eastAsia="仿宋_GB2312"/>
          <w:sz w:val="32"/>
          <w:szCs w:val="32"/>
          <w:lang w:eastAsia="zh-CN"/>
        </w:rPr>
        <w:t>米</w:t>
      </w:r>
      <w:r>
        <w:rPr>
          <w:rFonts w:eastAsia="仿宋_GB2312"/>
          <w:sz w:val="32"/>
          <w:szCs w:val="32"/>
        </w:rPr>
        <w:t>排气筒</w:t>
      </w:r>
      <w:r>
        <w:rPr>
          <w:rFonts w:hint="eastAsia" w:eastAsia="仿宋_GB2312"/>
          <w:sz w:val="32"/>
          <w:szCs w:val="32"/>
        </w:rPr>
        <w:t>（DA00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排放</w:t>
      </w:r>
      <w:r>
        <w:rPr>
          <w:rFonts w:hint="eastAsia"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  <w:lang w:eastAsia="zh-CN"/>
        </w:rPr>
        <w:t>吹扫废气集中收集后经“常温冷凝</w:t>
      </w:r>
      <w:r>
        <w:rPr>
          <w:rFonts w:hint="eastAsia" w:eastAsia="仿宋_GB2312"/>
          <w:sz w:val="32"/>
          <w:szCs w:val="32"/>
          <w:lang w:val="en-US" w:eastAsia="zh-CN"/>
        </w:rPr>
        <w:t>+</w:t>
      </w:r>
      <w:r>
        <w:rPr>
          <w:rFonts w:hint="eastAsia" w:eastAsia="仿宋_GB2312"/>
          <w:sz w:val="32"/>
          <w:szCs w:val="32"/>
        </w:rPr>
        <w:t>催化燃烧法（RCO）处理</w:t>
      </w:r>
      <w:r>
        <w:rPr>
          <w:rFonts w:hint="eastAsia" w:eastAsia="仿宋_GB2312"/>
          <w:sz w:val="32"/>
          <w:szCs w:val="32"/>
          <w:lang w:eastAsia="zh-CN"/>
        </w:rPr>
        <w:t>”由</w:t>
      </w:r>
      <w:r>
        <w:rPr>
          <w:rFonts w:eastAsia="仿宋_GB2312"/>
          <w:sz w:val="32"/>
          <w:szCs w:val="32"/>
        </w:rPr>
        <w:t>15</w:t>
      </w:r>
      <w:r>
        <w:rPr>
          <w:rFonts w:hint="eastAsia" w:eastAsia="仿宋_GB2312"/>
          <w:sz w:val="32"/>
          <w:szCs w:val="32"/>
          <w:lang w:eastAsia="zh-CN"/>
        </w:rPr>
        <w:t>米</w:t>
      </w:r>
      <w:r>
        <w:rPr>
          <w:rFonts w:eastAsia="仿宋_GB2312"/>
          <w:sz w:val="32"/>
          <w:szCs w:val="32"/>
        </w:rPr>
        <w:t>排气筒</w:t>
      </w:r>
      <w:r>
        <w:rPr>
          <w:rFonts w:hint="eastAsia" w:eastAsia="仿宋_GB2312"/>
          <w:sz w:val="32"/>
          <w:szCs w:val="32"/>
        </w:rPr>
        <w:t>（DA00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排放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执行</w:t>
      </w:r>
      <w:r>
        <w:rPr>
          <w:rFonts w:eastAsia="仿宋_GB2312"/>
          <w:sz w:val="32"/>
          <w:szCs w:val="32"/>
        </w:rPr>
        <w:t>《大气污染物综合排放标准》（</w:t>
      </w:r>
      <w:r>
        <w:rPr>
          <w:rFonts w:hint="eastAsia" w:eastAsia="仿宋_GB2312"/>
          <w:sz w:val="32"/>
          <w:szCs w:val="32"/>
        </w:rPr>
        <w:t>GB16297</w:t>
      </w:r>
      <w:r>
        <w:rPr>
          <w:rFonts w:hint="eastAsia" w:eastAsia="仿宋_GB2312"/>
          <w:sz w:val="32"/>
          <w:szCs w:val="32"/>
          <w:lang w:val="en-US" w:eastAsia="zh-CN"/>
        </w:rPr>
        <w:t>-</w:t>
      </w:r>
      <w:r>
        <w:rPr>
          <w:rFonts w:hint="eastAsia" w:eastAsia="仿宋_GB2312"/>
          <w:sz w:val="32"/>
          <w:szCs w:val="32"/>
        </w:rPr>
        <w:t>1996</w:t>
      </w:r>
      <w:r>
        <w:rPr>
          <w:rFonts w:eastAsia="仿宋_GB2312"/>
          <w:sz w:val="32"/>
          <w:szCs w:val="32"/>
        </w:rPr>
        <w:t>）</w:t>
      </w:r>
      <w:r>
        <w:rPr>
          <w:rFonts w:hint="eastAsia" w:eastAsia="仿宋_GB2312"/>
          <w:sz w:val="32"/>
          <w:szCs w:val="32"/>
          <w:lang w:eastAsia="zh-CN"/>
        </w:rPr>
        <w:t>表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pacing w:val="-10"/>
          <w:sz w:val="32"/>
          <w:szCs w:val="32"/>
          <w:u w:val="none" w:color="000000"/>
          <w:lang w:eastAsia="zh-CN"/>
        </w:rPr>
        <w:t>限值要求。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燃气锅炉废气经低氮燃烧后由15米高排气筒（DA004）排放，</w:t>
      </w:r>
      <w:r>
        <w:rPr>
          <w:rFonts w:hint="eastAsia" w:eastAsia="仿宋_GB2312"/>
          <w:sz w:val="32"/>
          <w:szCs w:val="32"/>
        </w:rPr>
        <w:t>颗粒物</w:t>
      </w:r>
      <w:r>
        <w:rPr>
          <w:rFonts w:hint="eastAsia" w:eastAsia="仿宋_GB2312"/>
          <w:sz w:val="32"/>
          <w:szCs w:val="32"/>
          <w:lang w:val="en-US" w:eastAsia="zh-CN"/>
        </w:rPr>
        <w:t>执行</w:t>
      </w:r>
      <w:r>
        <w:rPr>
          <w:rFonts w:hint="eastAsia" w:eastAsia="仿宋_GB2312"/>
          <w:sz w:val="32"/>
          <w:szCs w:val="32"/>
        </w:rPr>
        <w:t>《锅炉大气污染物排放标准》（GB13271-2014）表3</w:t>
      </w:r>
      <w:r>
        <w:rPr>
          <w:rFonts w:hint="eastAsia" w:eastAsia="仿宋_GB2312"/>
          <w:sz w:val="32"/>
          <w:szCs w:val="32"/>
          <w:lang w:val="en-US" w:eastAsia="zh-CN"/>
        </w:rPr>
        <w:t>限值，二氧化硫，氮氧化物执行</w:t>
      </w:r>
      <w:r>
        <w:rPr>
          <w:rFonts w:hint="eastAsia" w:eastAsia="仿宋_GB2312"/>
          <w:sz w:val="32"/>
          <w:szCs w:val="32"/>
        </w:rPr>
        <w:t>《燃气锅炉大气污染物排放标准》（DB6501/T 001-2018）表1</w:t>
      </w:r>
      <w:r>
        <w:rPr>
          <w:rFonts w:hint="eastAsia" w:eastAsia="仿宋_GB2312"/>
          <w:sz w:val="32"/>
          <w:szCs w:val="32"/>
          <w:lang w:val="en-US" w:eastAsia="zh-CN"/>
        </w:rPr>
        <w:t>限值。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项目设置封闭车间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，车间设置排气扇，加强通风，无组织排放执行</w:t>
      </w:r>
      <w:r>
        <w:rPr>
          <w:rFonts w:eastAsia="仿宋_GB2312"/>
          <w:sz w:val="32"/>
          <w:szCs w:val="32"/>
        </w:rPr>
        <w:t>《大气污染物综合排放标准》（GB16297-1996）表2</w:t>
      </w:r>
      <w:r>
        <w:rPr>
          <w:rFonts w:hint="eastAsia" w:eastAsia="仿宋_GB2312"/>
          <w:sz w:val="32"/>
          <w:szCs w:val="32"/>
          <w:lang w:val="en-US" w:eastAsia="zh-CN"/>
        </w:rPr>
        <w:t>限值及《挥发性有机物无组织排放控制标准》（GB37822-2019）中表A.1限值要求。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落实废水污染防治措施。运营期主要为</w:t>
      </w:r>
      <w:r>
        <w:rPr>
          <w:rFonts w:hint="eastAsia" w:ascii="仿宋" w:hAnsi="仿宋" w:eastAsia="仿宋"/>
          <w:spacing w:val="-10"/>
          <w:sz w:val="32"/>
          <w:szCs w:val="32"/>
          <w:u w:val="none" w:color="000000"/>
          <w:lang w:val="en-US" w:eastAsia="zh-CN"/>
        </w:rPr>
        <w:t>锅炉排水，循环水池废水，吹扫废水及生活废水。吹扫废水经项目区内一体化污水处理设施处理后，同锅炉排水，循环水池废水及生活废水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经市政管网进入</w:t>
      </w:r>
      <w:r>
        <w:rPr>
          <w:rFonts w:hint="eastAsia" w:eastAsia="仿宋_GB2312" w:cs="Times New Roman"/>
          <w:sz w:val="32"/>
          <w:szCs w:val="32"/>
          <w:lang w:eastAsia="zh-CN"/>
        </w:rPr>
        <w:t>园区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污水处理厂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执行《污水综合排放标准》（GB8978-96）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表4三级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标准限值。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（四）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落实固废污染防治措施。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运营期主要为除尘器收集粉尘，不合格零件，废离子交换树脂，废漆桶，废过滤棉及生活垃圾。除尘器收集粉尘，不合格零部件和废漆桶集中收集后外售。废离子交换树脂和废过滤棉厂家定期更换。生活垃圾定期由环卫部门清运。落实固废临时贮存点的防渗、防溢散、防臭措施，避免产生二次污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eastAsia="宋体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废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机油、废机油桶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（HW900-21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-08），废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催化剂、废含油抹布、手套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（HW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900-041-49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）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及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废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油、污泥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（HW900-21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-08）属于危险废物，集中收集后交由有资质的企业回收处置，危废暂存场所严格按照《危险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废物收集贮存运输技术规范》（HJ2025-2012）要求设置。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落实噪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污染防治措施。通过选用低噪声设备，合理布局，采取减振、隔声等措施，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噪声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执行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工业企业厂界环境噪声排放标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准》（GB12348-2008）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类标准要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四、项目建设应严格执行环境保护设施与主体工程同时设计、同时施工、同时投产使用的环境保护“三同时”制度，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规范设置污染物排放口标志标识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落实各项环保措施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五、建设及运营单位应进一步健全和完善各项环境管理制度和运行台账，加强生产及配套环保设施的运行维护和管理，确保项目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污染物稳定达标排放。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项目主要污染物排放总量指标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：VOCs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1.398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t/a、NOx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0.062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t/a，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从十二师十四五减排中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倍量替代分别为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VOCs 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2.796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t/a、NOx 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0.124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t/a。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严格落实环境风险及环境安全风险防范措施。制定突发环境事件应急预案，报当地生态环境部门备案。配备充足的环境应急物资，加强应急培训和演练，有效防范、科学处置突发环境事件。对环境污染防治设施依法依规开展安全评价、评估和事故隐患排查治理，并按规定报安全生产主管部门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、在启动生产设施或者发生实际排污行为前，按照已批准的环境影响评价文件落实各项环境保护措施后，依法申领排污许可证。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项目竣工后，建设单位应当按照规定的标准和程序，对配套建设的环境保护设施进行验收，经验收合格后方可投入运行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并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依法向社会公开环境保护设施验收报告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</w:t>
      </w:r>
      <w:r>
        <w:rPr>
          <w:rStyle w:val="20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本批复有效期五年，项目自批复之日起五年后开工建设的，应报我局重新审核。本批复生效后，建设项目的性质、规模、地点、采用的生产工艺或者防治污染、防止生态破坏的措施发生重大变动的，应当重新报批建设项目的环境影响评价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、十二师生态环境保护综合行政执法支队和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项目所属辖区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环境管理部门负责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“三同时”监督检查和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日常监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工作。你单位应在收到本批复20个工作日内，将批准后的环境影响报告表及批复分送以上监督管理机构，并按规定接受监督检查。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（此页无正文）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   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第十二师生态环境局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2023年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月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日</w:t>
      </w:r>
    </w:p>
    <w:p>
      <w:pPr>
        <w:pStyle w:val="9"/>
        <w:rPr>
          <w:rFonts w:hint="default"/>
          <w:lang w:val="en-US" w:eastAsia="zh-CN"/>
        </w:rPr>
      </w:pPr>
    </w:p>
    <w:p>
      <w:pPr>
        <w:pStyle w:val="9"/>
        <w:rPr>
          <w:rFonts w:hint="default"/>
          <w:lang w:val="en-US" w:eastAsia="zh-CN"/>
        </w:rPr>
      </w:pPr>
    </w:p>
    <w:p>
      <w:pPr>
        <w:pStyle w:val="9"/>
        <w:rPr>
          <w:rFonts w:hint="default"/>
          <w:lang w:val="en-US" w:eastAsia="zh-CN"/>
        </w:rPr>
      </w:pPr>
    </w:p>
    <w:p>
      <w:pPr>
        <w:pStyle w:val="9"/>
        <w:rPr>
          <w:rFonts w:hint="default"/>
          <w:lang w:val="en-US" w:eastAsia="zh-CN"/>
        </w:rPr>
      </w:pPr>
    </w:p>
    <w:p>
      <w:pPr>
        <w:pStyle w:val="9"/>
        <w:rPr>
          <w:rFonts w:hint="default"/>
          <w:lang w:val="en-US" w:eastAsia="zh-CN"/>
        </w:rPr>
      </w:pPr>
    </w:p>
    <w:p>
      <w:pPr>
        <w:pStyle w:val="9"/>
        <w:rPr>
          <w:rFonts w:hint="default"/>
          <w:lang w:val="en-US" w:eastAsia="zh-CN"/>
        </w:rPr>
      </w:pPr>
    </w:p>
    <w:p>
      <w:pPr>
        <w:pStyle w:val="9"/>
        <w:rPr>
          <w:rFonts w:hint="default"/>
          <w:lang w:val="en-US" w:eastAsia="zh-CN"/>
        </w:rPr>
      </w:pPr>
    </w:p>
    <w:p>
      <w:pPr>
        <w:pStyle w:val="9"/>
        <w:rPr>
          <w:rFonts w:hint="default"/>
          <w:lang w:val="en-US" w:eastAsia="zh-CN"/>
        </w:rPr>
      </w:pPr>
    </w:p>
    <w:p>
      <w:pPr>
        <w:pStyle w:val="9"/>
        <w:rPr>
          <w:rFonts w:hint="default"/>
          <w:lang w:val="en-US" w:eastAsia="zh-CN"/>
        </w:rPr>
      </w:pPr>
    </w:p>
    <w:p>
      <w:pPr>
        <w:pStyle w:val="9"/>
        <w:rPr>
          <w:rFonts w:hint="default"/>
          <w:lang w:val="en-US" w:eastAsia="zh-CN"/>
        </w:rPr>
      </w:pPr>
    </w:p>
    <w:p>
      <w:pPr>
        <w:pStyle w:val="9"/>
        <w:rPr>
          <w:rFonts w:hint="default"/>
          <w:lang w:val="en-US" w:eastAsia="zh-CN"/>
        </w:rPr>
      </w:pPr>
    </w:p>
    <w:p>
      <w:pPr>
        <w:pStyle w:val="9"/>
        <w:rPr>
          <w:rFonts w:hint="default"/>
          <w:lang w:val="en-US" w:eastAsia="zh-CN"/>
        </w:rPr>
      </w:pPr>
    </w:p>
    <w:p>
      <w:pPr>
        <w:pStyle w:val="9"/>
        <w:rPr>
          <w:rFonts w:hint="default"/>
          <w:lang w:val="en-US" w:eastAsia="zh-CN"/>
        </w:rPr>
      </w:pPr>
    </w:p>
    <w:p>
      <w:pPr>
        <w:pStyle w:val="9"/>
        <w:rPr>
          <w:rFonts w:hint="default"/>
          <w:lang w:val="en-US" w:eastAsia="zh-CN"/>
        </w:rPr>
      </w:pPr>
    </w:p>
    <w:p>
      <w:pPr>
        <w:pStyle w:val="9"/>
        <w:rPr>
          <w:rFonts w:hint="default"/>
          <w:lang w:val="en-US" w:eastAsia="zh-CN"/>
        </w:rPr>
      </w:pPr>
    </w:p>
    <w:p>
      <w:pPr>
        <w:pStyle w:val="9"/>
        <w:rPr>
          <w:rFonts w:hint="default"/>
          <w:lang w:val="en-US" w:eastAsia="zh-CN"/>
        </w:rPr>
      </w:pPr>
    </w:p>
    <w:p>
      <w:pPr>
        <w:pStyle w:val="18"/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300" w:firstLineChars="1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十二师生态环境局综合科                  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2023年</w:t>
      </w:r>
      <w:r>
        <w:rPr>
          <w:rFonts w:hint="eastAsia" w:eastAsia="仿宋_GB2312" w:cs="Times New Roman"/>
          <w:sz w:val="30"/>
          <w:szCs w:val="30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月</w:t>
      </w:r>
      <w:r>
        <w:rPr>
          <w:rFonts w:hint="eastAsia" w:eastAsia="仿宋_GB2312" w:cs="Times New Roman"/>
          <w:sz w:val="30"/>
          <w:szCs w:val="30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A397D0"/>
    <w:multiLevelType w:val="singleLevel"/>
    <w:tmpl w:val="7FA397D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zYjQzYWI2ZmFhZjY1NzRjMTNiOWY3Njc3MjZkOWYifQ=="/>
  </w:docVars>
  <w:rsids>
    <w:rsidRoot w:val="209C6FB6"/>
    <w:rsid w:val="01954E03"/>
    <w:rsid w:val="036B03E5"/>
    <w:rsid w:val="06436D82"/>
    <w:rsid w:val="076E74DB"/>
    <w:rsid w:val="0A300945"/>
    <w:rsid w:val="0DC736EF"/>
    <w:rsid w:val="0E3A5F83"/>
    <w:rsid w:val="1130362F"/>
    <w:rsid w:val="12404419"/>
    <w:rsid w:val="1483206F"/>
    <w:rsid w:val="17712A16"/>
    <w:rsid w:val="17FD79ED"/>
    <w:rsid w:val="20920B1E"/>
    <w:rsid w:val="209C6FB6"/>
    <w:rsid w:val="238C1D83"/>
    <w:rsid w:val="2D473EFE"/>
    <w:rsid w:val="36356EAC"/>
    <w:rsid w:val="378C012D"/>
    <w:rsid w:val="3B56320E"/>
    <w:rsid w:val="41481ED3"/>
    <w:rsid w:val="440C3582"/>
    <w:rsid w:val="448434D9"/>
    <w:rsid w:val="46C40A3A"/>
    <w:rsid w:val="4C935F3D"/>
    <w:rsid w:val="4EE6170D"/>
    <w:rsid w:val="4F4E4297"/>
    <w:rsid w:val="56982E14"/>
    <w:rsid w:val="5902641E"/>
    <w:rsid w:val="5FA01104"/>
    <w:rsid w:val="61ED1CAB"/>
    <w:rsid w:val="68A87B77"/>
    <w:rsid w:val="6BA83070"/>
    <w:rsid w:val="6CF32868"/>
    <w:rsid w:val="75114B05"/>
    <w:rsid w:val="7C55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0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360" w:lineRule="auto"/>
      <w:outlineLvl w:val="2"/>
    </w:pPr>
    <w:rPr>
      <w:b/>
      <w:bCs/>
      <w:sz w:val="24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420"/>
    </w:pPr>
  </w:style>
  <w:style w:type="paragraph" w:styleId="4">
    <w:name w:val="Body Text"/>
    <w:basedOn w:val="1"/>
    <w:qFormat/>
    <w:uiPriority w:val="99"/>
    <w:pPr>
      <w:autoSpaceDE w:val="0"/>
      <w:autoSpaceDN w:val="0"/>
      <w:adjustRightInd w:val="0"/>
      <w:snapToGrid w:val="0"/>
      <w:spacing w:line="580" w:lineRule="exact"/>
      <w:textAlignment w:val="baseline"/>
    </w:pPr>
    <w:rPr>
      <w:rFonts w:ascii="仿宋_GB2312" w:eastAsia="仿宋_GB2312"/>
      <w:spacing w:val="-20"/>
      <w:kern w:val="0"/>
      <w:sz w:val="32"/>
      <w:szCs w:val="20"/>
    </w:rPr>
  </w:style>
  <w:style w:type="paragraph" w:styleId="5">
    <w:name w:val="Body Text Indent"/>
    <w:basedOn w:val="1"/>
    <w:next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Body Text Indent 2"/>
    <w:basedOn w:val="1"/>
    <w:qFormat/>
    <w:uiPriority w:val="0"/>
    <w:pPr>
      <w:snapToGrid w:val="0"/>
      <w:spacing w:line="420" w:lineRule="exact"/>
      <w:ind w:firstLine="480"/>
    </w:pPr>
    <w:rPr>
      <w:sz w:val="24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Body Text First Indent"/>
    <w:basedOn w:val="4"/>
    <w:qFormat/>
    <w:uiPriority w:val="0"/>
  </w:style>
  <w:style w:type="paragraph" w:styleId="10">
    <w:name w:val="Body Text First Indent 2"/>
    <w:basedOn w:val="5"/>
    <w:next w:val="9"/>
    <w:qFormat/>
    <w:uiPriority w:val="0"/>
    <w:pPr>
      <w:ind w:firstLine="420" w:firstLineChars="200"/>
    </w:pPr>
  </w:style>
  <w:style w:type="paragraph" w:customStyle="1" w:styleId="13">
    <w:name w:val="Default"/>
    <w:basedOn w:val="14"/>
    <w:next w:val="1"/>
    <w:qFormat/>
    <w:uiPriority w:val="0"/>
    <w:pPr>
      <w:widowControl w:val="0"/>
      <w:tabs>
        <w:tab w:val="left" w:pos="1845"/>
      </w:tabs>
      <w:autoSpaceDE w:val="0"/>
      <w:autoSpaceDN w:val="0"/>
      <w:adjustRightInd w:val="0"/>
    </w:pPr>
    <w:rPr>
      <w:rFonts w:ascii="宋体" w:cs="宋体"/>
      <w:color w:val="000000"/>
      <w:sz w:val="24"/>
      <w:szCs w:val="24"/>
      <w:lang w:val="en-US" w:eastAsia="zh-CN" w:bidi="ar-SA"/>
    </w:rPr>
  </w:style>
  <w:style w:type="paragraph" w:customStyle="1" w:styleId="14">
    <w:name w:val="1 表头"/>
    <w:basedOn w:val="1"/>
    <w:qFormat/>
    <w:uiPriority w:val="0"/>
    <w:pPr>
      <w:adjustRightInd w:val="0"/>
      <w:snapToGrid w:val="0"/>
      <w:spacing w:line="240" w:lineRule="auto"/>
      <w:ind w:firstLine="0" w:firstLineChars="0"/>
      <w:jc w:val="center"/>
    </w:pPr>
    <w:rPr>
      <w:b/>
      <w:color w:val="000000"/>
      <w:sz w:val="21"/>
      <w:szCs w:val="21"/>
    </w:rPr>
  </w:style>
  <w:style w:type="paragraph" w:customStyle="1" w:styleId="15">
    <w:name w:val="样式5"/>
    <w:basedOn w:val="3"/>
    <w:qFormat/>
    <w:uiPriority w:val="0"/>
    <w:pPr>
      <w:snapToGrid w:val="0"/>
      <w:spacing w:before="62" w:beforeLines="20" w:after="62" w:afterLines="20" w:line="480" w:lineRule="exact"/>
      <w:ind w:firstLine="523" w:firstLineChars="218"/>
      <w:jc w:val="both"/>
    </w:pPr>
    <w:rPr>
      <w:i/>
      <w:iCs/>
      <w:kern w:val="2"/>
      <w:sz w:val="24"/>
      <w:szCs w:val="20"/>
    </w:rPr>
  </w:style>
  <w:style w:type="paragraph" w:customStyle="1" w:styleId="16">
    <w:name w:val="纯文本1"/>
    <w:basedOn w:val="1"/>
    <w:qFormat/>
    <w:uiPriority w:val="0"/>
    <w:pPr>
      <w:tabs>
        <w:tab w:val="left" w:pos="1845"/>
      </w:tabs>
      <w:spacing w:line="240" w:lineRule="exact"/>
      <w:jc w:val="center"/>
    </w:pPr>
    <w:rPr>
      <w:sz w:val="18"/>
    </w:rPr>
  </w:style>
  <w:style w:type="paragraph" w:customStyle="1" w:styleId="17">
    <w:name w:val="正文(首行缩进)"/>
    <w:basedOn w:val="1"/>
    <w:next w:val="1"/>
    <w:qFormat/>
    <w:uiPriority w:val="0"/>
    <w:pPr>
      <w:spacing w:line="360" w:lineRule="auto"/>
      <w:ind w:firstLine="540" w:firstLineChars="225"/>
    </w:pPr>
    <w:rPr>
      <w:snapToGrid w:val="0"/>
      <w:color w:val="000000"/>
      <w:sz w:val="24"/>
      <w:szCs w:val="24"/>
    </w:rPr>
  </w:style>
  <w:style w:type="paragraph" w:customStyle="1" w:styleId="18">
    <w:name w:val="Normal Indent1"/>
    <w:basedOn w:val="1"/>
    <w:qFormat/>
    <w:uiPriority w:val="0"/>
    <w:pPr>
      <w:ind w:firstLine="420" w:firstLineChars="200"/>
    </w:pPr>
  </w:style>
  <w:style w:type="paragraph" w:customStyle="1" w:styleId="19">
    <w:name w:val="BodyText"/>
    <w:basedOn w:val="1"/>
    <w:qFormat/>
    <w:uiPriority w:val="0"/>
    <w:pPr>
      <w:spacing w:after="120"/>
      <w:jc w:val="both"/>
      <w:textAlignment w:val="baseline"/>
    </w:pPr>
  </w:style>
  <w:style w:type="character" w:customStyle="1" w:styleId="20">
    <w:name w:val="NormalCharacter"/>
    <w:link w:val="1"/>
    <w:semiHidden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customStyle="1" w:styleId="21">
    <w:name w:val="UserStyle_4"/>
    <w:basedOn w:val="1"/>
    <w:qFormat/>
    <w:uiPriority w:val="0"/>
    <w:pPr>
      <w:ind w:left="200" w:leftChars="200" w:firstLine="200" w:firstLineChars="200"/>
      <w:jc w:val="both"/>
      <w:textAlignment w:val="baseline"/>
    </w:pPr>
    <w:rPr>
      <w:rFonts w:ascii="宋体" w:hAnsi="宋体"/>
      <w:color w:val="000000"/>
      <w:kern w:val="2"/>
      <w:sz w:val="32"/>
      <w:szCs w:val="32"/>
      <w:lang w:val="en-US" w:eastAsia="zh-CN" w:bidi="ar-SA"/>
    </w:rPr>
  </w:style>
  <w:style w:type="paragraph" w:customStyle="1" w:styleId="22">
    <w:name w:val="Char"/>
    <w:basedOn w:val="1"/>
    <w:qFormat/>
    <w:uiPriority w:val="0"/>
    <w:pPr>
      <w:spacing w:line="360" w:lineRule="auto"/>
      <w:ind w:firstLine="20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2253</Words>
  <Characters>2527</Characters>
  <Lines>0</Lines>
  <Paragraphs>0</Paragraphs>
  <TotalTime>6</TotalTime>
  <ScaleCrop>false</ScaleCrop>
  <LinksUpToDate>false</LinksUpToDate>
  <CharactersWithSpaces>2610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2023-03-31T08:28:00Z</dcterms:created>
  <dc:creator>Lenovo1</dc:creator>
  <cp:lastModifiedBy>WPS_1528043761</cp:lastModifiedBy>
  <cp:lastPrinted>2023-08-24T04:38:00Z</cp:lastPrinted>
  <dcterms:modified xsi:type="dcterms:W3CDTF">2023-08-24T07:44:05Z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94EC4106611D4437A4A681214A9A73AD_13</vt:lpwstr>
  </property>
</Properties>
</file>