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关于200万米光伏管桩生产项目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环境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新疆金羊光伏管桩有限公司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你单位报送的由新疆荣祥环保科技咨询有限公司编制的《200万米光伏管桩生产项目环境影响报告表》（以下简称《报告表》）收悉。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根据《中华人民共和国行政许可法》第三十八条第一款、《中华人民共和国环境影响评价法》第二十二条第三款，经审查，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现批复如下：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项目位于兵团乌鲁木齐经济技术开发区玉兰街1-1号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。项目西侧为乌鲁木齐绕城高速路，北侧为新疆明品时代液化气站，东侧为新疆东跃电机有限公司，南侧为新疆君泰防火通风工程有限公司。中心地理坐标为</w:t>
      </w:r>
      <w:r>
        <w:rPr>
          <w:rFonts w:ascii="Times New Roman" w:hAnsi="Times New Roman" w:eastAsia="仿宋_GB2312"/>
          <w:sz w:val="32"/>
          <w:szCs w:val="32"/>
          <w:u w:val="none" w:color="000000"/>
        </w:rPr>
        <w:t>东经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87°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′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34.946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°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′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0.406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租赁新疆众祥环保科技有限公司现有厂房，总占地10000平方米，总建筑面积10000平方米。租赁1座厂房作为管桩生产车间、1座办公楼，配套工程有搅拌站、水泥筒仓、全封闭砂库、全封闭石库、管桩露天存放场、蒸汽养护池及锅炉房。拟建4台1.5吨/小时燃气蒸汽发生器。年生产200万米光伏管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表》的评价结论、技术审查意见，在全面落实报告表中提出的各项污染防治、环境保护和风险防控措施后，对环境的不利影响能够得到减缓和控制。从环境保护的角度考虑，原则上同意该项目《报告表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三、项目运行管理中应重点做好的工作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落实废气污染防治措施。运营期主要为搅拌粉尘，蒸汽发生器废气，装卸粉尘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水泥仓呼吸粉尘及焊接烟气。搅拌粉尘集中收集后经布袋除尘器处理后经15米高（DA001）排气筒排放，执行《水泥工业大气污染物排放标准》（GB4915-2013）表2限值。蒸汽发生器经低氮燃烧+烟气再循环系统处理后经8米高（DA002、DA003、DA004、DA005）排气筒排放，二氧化硫，氮氧化物执行《燃气锅炉大气污染物排放标准》（DB6501/T001-2018）表1限值，颗粒物执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《锅炉大气污染物排放标准》（GB13271-2014）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表3限值。水泥筒仓粉尘经仓顶除尘器处理后无组织排放。焊接烟气经移动式焊接烟尘净化器处理后无组织排放。项目设置封闭堆场，定期洒水降尘，物料密闭运输，无组织排放执行《水泥工业大气污染物排放标准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》（GB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4915-2013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）中表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3限值要求。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（二）落实废水污染防治措施。运营期主要为生产废水及生活废水。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生产废水主要包括软水制备废水，蒸汽发生器废水及搅拌机清洗废水，经项目区内沉淀池处理后回用，不外排。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生活废水经市政管网排入兵团乌鲁木齐工业园区污水处理厂，执行《污水综合排放标准》（GB8978-96）表4中三级排放标准。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落实固废污染防治措施。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运营期主要为废离子交换树脂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废钢筋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焊接废渣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布袋除尘器收集粉尘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废混凝土渣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沉淀池底泥及生活垃圾。废离子交换树脂由厂家更换后回收处置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废钢筋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废焊渣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集中收集后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外售；布袋除尘器收集粉尘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集中收集后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回用于生产；混凝土渣清运至建筑垃圾填埋场处置；项目沉淀池产生的底泥定期清掏回用。生活垃圾定期由环卫部门清运。落实固废临时贮存点的防渗、防溢散、防臭措施，避免产生二次污染。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废机油（HW900-214-08）属于危险废物，集中收集后交由有资质的企业回收处置，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危险废物的储存和处置满足《危险废物贮存污染控制标准》（GB18597-2023）及《危险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kern w:val="2"/>
          <w:sz w:val="32"/>
          <w:szCs w:val="32"/>
          <w:lang w:val="en-US" w:eastAsia="zh-CN" w:bidi="ar-SA"/>
        </w:rPr>
        <w:t>废物收集贮存运输技术规范》（HJ2025-2012）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中相关标准要求。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）落实噪声污染防治措施。通过选用低噪声设备，合理布局，采取减振、隔声等措施，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满足《工业企业厂界环境噪声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排放标准》（GB12348-2008）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（五）建立畅通的公众参与途径，主动接受社会监督，并及时回应和解决公众关切的环境问题，切实维护公众合法的环境权益。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项目建设应严格执行环境保护设施与主体工程同时设计、同时施工、同时投产使用的环境保护“三同时”制度，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规范设置污染物排放口标志标识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落实各项环保措施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项目主要污染物排放总量指标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：氮氧化物：0.267吨/年，从十二师“十四五”总量减排中倍量替代0.534吨/年。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，并满足总量控制及减排核查相关要求。编制环境应急预案，降低环境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格落实环境风险及环境安全风险防范措施。制定突发环境事件应急预案，报当地生态环境部门备案。配备充足的环境应急物资，加强应急培训和演练，有效防范、科学处置突发环境事件。对环境污染防治设施依法依规开展安全评价、评估和事故隐患排查治理，并按规定报安全生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、在启动生产设施或者发生实际排污行为前，按照已批准的环境影响评价文件落实各项环境保护措施后，依法申领排污许可证。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工作。你单位应在收到本批复20个工作日内，将批准后的环境影响报告表及批复分送以上监督管理机构，并按规定接受监督检查。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联系电话：0991-5270750（十二师生态环境局）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通讯地址：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乌鲁木齐市（第十二师）头屯河区五一农场振华街1777号市民中心一层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pStyle w:val="10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B4E85"/>
    <w:multiLevelType w:val="singleLevel"/>
    <w:tmpl w:val="E95B4E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NTg1ZDA1MDU1ZjRiNTVjMmQ0NDk4YjczMWViZWIifQ=="/>
    <w:docVar w:name="KSO_WPS_MARK_KEY" w:val="f6dc05cb-aa64-41a5-bae2-2dc33ba4b1dc"/>
  </w:docVars>
  <w:rsids>
    <w:rsidRoot w:val="209C6FB6"/>
    <w:rsid w:val="01954E03"/>
    <w:rsid w:val="019C660A"/>
    <w:rsid w:val="026D5A2C"/>
    <w:rsid w:val="036B03E5"/>
    <w:rsid w:val="076E74DB"/>
    <w:rsid w:val="07CA4C73"/>
    <w:rsid w:val="0A300945"/>
    <w:rsid w:val="0DC736EF"/>
    <w:rsid w:val="0E1A6490"/>
    <w:rsid w:val="0E3A5F83"/>
    <w:rsid w:val="10EB7617"/>
    <w:rsid w:val="1130362F"/>
    <w:rsid w:val="12404419"/>
    <w:rsid w:val="1483206F"/>
    <w:rsid w:val="17712A16"/>
    <w:rsid w:val="17FD79ED"/>
    <w:rsid w:val="20920B1E"/>
    <w:rsid w:val="209C6FB6"/>
    <w:rsid w:val="273656BF"/>
    <w:rsid w:val="2D473EFE"/>
    <w:rsid w:val="357521DE"/>
    <w:rsid w:val="36356EAC"/>
    <w:rsid w:val="378C012D"/>
    <w:rsid w:val="3D435C82"/>
    <w:rsid w:val="41481ED3"/>
    <w:rsid w:val="440C3582"/>
    <w:rsid w:val="448434D9"/>
    <w:rsid w:val="46C40A3A"/>
    <w:rsid w:val="48DA2668"/>
    <w:rsid w:val="4C935F3D"/>
    <w:rsid w:val="4EE6170D"/>
    <w:rsid w:val="56982E14"/>
    <w:rsid w:val="58454942"/>
    <w:rsid w:val="5902641E"/>
    <w:rsid w:val="59D76757"/>
    <w:rsid w:val="5D11106C"/>
    <w:rsid w:val="5FA01104"/>
    <w:rsid w:val="607D37A6"/>
    <w:rsid w:val="61ED1CAB"/>
    <w:rsid w:val="62D6745D"/>
    <w:rsid w:val="68A87B77"/>
    <w:rsid w:val="69721A53"/>
    <w:rsid w:val="6CF32868"/>
    <w:rsid w:val="6EA8345D"/>
    <w:rsid w:val="700F1F41"/>
    <w:rsid w:val="70832B0E"/>
    <w:rsid w:val="744228E5"/>
    <w:rsid w:val="75114B05"/>
    <w:rsid w:val="7C555D07"/>
    <w:rsid w:val="7D1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next w:val="1"/>
    <w:qFormat/>
    <w:uiPriority w:val="0"/>
    <w:pPr>
      <w:spacing w:line="240" w:lineRule="atLeast"/>
    </w:pPr>
    <w:rPr>
      <w:rFonts w:ascii="宋体" w:hAnsi="Courier New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next w:val="1"/>
    <w:qFormat/>
    <w:uiPriority w:val="0"/>
    <w:pPr>
      <w:ind w:left="200" w:hanging="200" w:hangingChars="200"/>
    </w:pPr>
    <w:rPr>
      <w:szCs w:val="24"/>
    </w:rPr>
  </w:style>
  <w:style w:type="paragraph" w:styleId="10">
    <w:name w:val="Body Text First Indent"/>
    <w:basedOn w:val="4"/>
    <w:qFormat/>
    <w:uiPriority w:val="0"/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Default"/>
    <w:basedOn w:val="15"/>
    <w:next w:val="6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6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7">
    <w:name w:val="样式5"/>
    <w:basedOn w:val="3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8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9">
    <w:name w:val="Normal Indent1"/>
    <w:basedOn w:val="1"/>
    <w:qFormat/>
    <w:uiPriority w:val="0"/>
    <w:pPr>
      <w:ind w:firstLine="420" w:firstLineChars="200"/>
    </w:pPr>
  </w:style>
  <w:style w:type="paragraph" w:customStyle="1" w:styleId="20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2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2451</Characters>
  <Lines>0</Lines>
  <Paragraphs>0</Paragraphs>
  <TotalTime>0</TotalTime>
  <ScaleCrop>false</ScaleCrop>
  <LinksUpToDate>false</LinksUpToDate>
  <CharactersWithSpaces>2480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2024-06-03T11:17:00Z</cp:lastPrinted>
  <dcterms:modified xsi:type="dcterms:W3CDTF">2024-07-18T10:04:09Z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28A873A7C9004FA49993904A1FC1C99A_13</vt:lpwstr>
  </property>
</Properties>
</file>