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关于光伏项目新能源配套产业—年产300万米预应力管桩项目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环境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新疆博越新材料有限责任公司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你单位报送的由乌鲁木齐汇翔达工程咨询服务有限公司编制的《光伏项目新能源配套产业—年产300万米预应力管桩项目环境影响报告表》（以下简称《报告表》）收悉。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根据《中华人民共和国行政许可法》第三十八条第一款、《中华人民共和国环境影响评价法》第二十二条第三款，经审查，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现批复如下：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项目位于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兵团乌鲁木齐工业园区茉莉花街4号。项目北侧为空地，南侧为新疆联合盛鑫工程管理有限公司，东侧为常青路，西侧为新疆路通汇能建材有限公司。中心地理坐标为</w:t>
      </w:r>
      <w:r>
        <w:rPr>
          <w:rFonts w:ascii="Times New Roman" w:hAnsi="Times New Roman" w:eastAsia="仿宋_GB2312"/>
          <w:sz w:val="32"/>
          <w:szCs w:val="32"/>
          <w:u w:val="none" w:color="000000"/>
        </w:rPr>
        <w:t>东经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87°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′</w:t>
      </w:r>
      <w:r>
        <w:rPr>
          <w:rFonts w:hint="eastAsia" w:eastAsia="仿宋_GB2312" w:cs="Times New Roman"/>
          <w:sz w:val="32"/>
          <w:szCs w:val="32"/>
          <w:u w:val="none" w:color="000000"/>
          <w:lang w:val="en-US" w:eastAsia="zh-CN"/>
        </w:rPr>
        <w:t>26.511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000000"/>
        </w:rPr>
        <w:t>，北纬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4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°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′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lang w:val="en-US" w:eastAsia="zh-CN"/>
        </w:rPr>
        <w:t>59.557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建设内容：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项目发生重大变更后重新报批环评。依托已建联合生产车间，车间内拟建1条年产300万米预应力管桩生产线，生产线配套新建1套180立方米/小时搅拌设备和10套蒸汽养护池，总占地面积645平方米；依托企业已建半封闭原料堆场（堆放炉渣）、仓库；依托已建4座筒仓，本次新建搅拌设备，新建1座3层综合楼，依托已建1座锅炉房，占地面积174.53平方米，已建1座6吨/小时燃气锅炉和1座2吨/小时备用燃气锅炉，本次两台锅炉分别新增低氮燃烧+烟气再循环处理设施。拟建设1座80立方米沉淀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万元，其中环保投资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报告表》的评价结论、技术审查意见，在全面落实报告表中提出的各项污染防治、环境保护和风险防控措施后，对环境的不利影响能够得到减缓和控制。从环境保护的角度考虑，原则上同意该项目《报告表》所列地点、性质、规模，采用的生产工艺及环境保护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三、项目运行管理中应重点做好的工作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落实废气污染防治措施。运营期主要为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锅炉废气，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装卸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粉尘，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投料粉尘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，水泥仓呼吸粉尘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，印刷废气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及焊接烟气。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锅炉废气经低氮燃烧+烟气再循环处理后经13米高（DA001）排气筒排放，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二氧化硫，氮氧化物执行《燃气锅炉大气污染物排放标准》（DB6501/T001-2018）表1限值，颗粒物执行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《锅炉大气污染物排放标准》（GB13271-2014）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表3限值。水泥筒仓粉尘经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自吸式脉冲布袋除尘器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处理后无组织排放。焊接烟气经移动式焊接烟尘净化器处理后无组织排放。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搅拌粉尘经脉冲式布袋除尘器处理后无组织排放。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项目设置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封闭堆场，定期洒水降尘，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设置半封闭投料口，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物料密闭运输，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生产车间内加强通风，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无组织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粉尘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排放执行《水泥工业大气污染物排放标准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》（GB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4915-2013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eastAsia="zh-CN"/>
        </w:rPr>
        <w:t>）中表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3限值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，非甲烷总烃执行《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  <w:u w:val="none" w:color="000000"/>
          <w:lang w:val="en-US" w:eastAsia="zh-CN"/>
        </w:rPr>
        <w:t>涂料、油墨及胶粘剂工业大气污染物排放标准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》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  <w:u w:val="none" w:color="000000"/>
          <w:lang w:val="en-US" w:eastAsia="zh-CN"/>
        </w:rPr>
        <w:t>（GB37824-2019）</w:t>
      </w:r>
      <w:r>
        <w:rPr>
          <w:rFonts w:hint="default" w:ascii="Times New Roman" w:hAnsi="Times New Roman" w:eastAsia="仿宋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表B.1特</w:t>
      </w:r>
      <w:r>
        <w:rPr>
          <w:rFonts w:hint="eastAsia" w:ascii="仿宋" w:hAnsi="仿宋" w:eastAsia="仿宋" w:cs="仿宋"/>
          <w:color w:val="auto"/>
          <w:spacing w:val="-10"/>
          <w:sz w:val="32"/>
          <w:szCs w:val="32"/>
          <w:u w:val="none" w:color="000000"/>
          <w:lang w:val="en-US" w:eastAsia="zh-CN"/>
        </w:rPr>
        <w:t>别排放限值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 w:color="000000"/>
          <w:lang w:val="en-US" w:eastAsia="zh-CN"/>
        </w:rPr>
        <w:t>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（二）落实废水污染防治措施。运营期主要为生产废水及生活废水。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生产废水主要包括软水制备废水及清洗废水，经项目区内沉淀池处理后回用，不外排。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生活废水经市政管网排入兵团乌鲁木齐工业园区污水处理厂，执行《污水综合排放标准》（GB8978-96）表4中三级排放标准。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落实固废污染防治措施。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运营期主要为沉淀池底泥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、废边角料、残次品、焊渣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及生活垃圾。沉淀池产生的底泥定期清掏，作为生产原料回用。</w:t>
      </w:r>
      <w:r>
        <w:rPr>
          <w:rFonts w:hint="eastAsia" w:ascii="仿宋_GB2312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废边角料、残次品及焊渣集中收集后外售。</w:t>
      </w:r>
      <w:r>
        <w:rPr>
          <w:rFonts w:hint="eastAsia" w:ascii="仿宋_GB2312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生活垃圾定期由环卫部门清运。落实固废临时贮存点的防渗、防溢散、防臭措施，避免产生二次污染。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废机油（HW900-214-08）属于危险废物，</w:t>
      </w:r>
      <w:r>
        <w:rPr>
          <w:rFonts w:hint="eastAsia" w:ascii="Times New Roman" w:eastAsia="仿宋_GB2312" w:cs="Times New Roman"/>
          <w:color w:val="auto"/>
          <w:sz w:val="32"/>
          <w:szCs w:val="32"/>
          <w:lang w:val="en-US" w:eastAsia="zh-CN"/>
        </w:rPr>
        <w:t>暂存于项目区内危废暂存间，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交由有资质的企业回收处置，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危险废物的储存和处置满足《危险废物贮存污染控制标准》（GB18597-2023）及《危险</w:t>
      </w:r>
      <w:r>
        <w:rPr>
          <w:rFonts w:hint="default" w:ascii="Times New Roman" w:hAnsi="Times New Roman" w:eastAsia="仿宋_GB2312" w:cs="Times New Roman"/>
          <w:snapToGrid/>
          <w:color w:val="auto"/>
          <w:spacing w:val="0"/>
          <w:kern w:val="2"/>
          <w:sz w:val="32"/>
          <w:szCs w:val="32"/>
          <w:lang w:val="en-US" w:eastAsia="zh-CN" w:bidi="ar-SA"/>
        </w:rPr>
        <w:t>废物收集贮存运输技术规范》（HJ2025-2012）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中相关标准要求。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）落实噪声污染防治措施。通过选用低噪声设备，合理布局，采取减振、隔声等措施，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厂界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满足《工业企业厂界环境噪声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排放标准》（GB12348-2008）</w:t>
      </w:r>
      <w:r>
        <w:rPr>
          <w:rFonts w:hint="eastAsia" w:eastAsia="仿宋_GB2312" w:cs="Times New Roman"/>
          <w:color w:val="auto"/>
          <w:spacing w:val="-10"/>
          <w:sz w:val="32"/>
          <w:szCs w:val="32"/>
          <w:u w:val="none" w:color="00000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u w:val="none" w:color="000000"/>
          <w:lang w:eastAsia="zh-CN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（五）建立畅通的公众参与途径，主动接受社会监督，并及时回应和解决公众关切的环境问题，切实维护公众合法的环境权益。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项目建设应严格执行环境保护设施与主体工程同时设计、同时施工、同时投产使用的环境保护“三同时”制度，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规范设置污染物排放口标志标识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落实各项环保措施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项目主要污染物排放总量指标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：氮氧化物：1.338吨/年，从十二师“十四五”总量减排中倍量替代2.676吨/年。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建设及运营单位应进一步健全和完善各项环境管理制度和运行台账，加强生产及配套环保设施的运行维护和管理，确保项目污染物稳定达标排放，并满足总量控制及减排核查相关要求。编制环境应急预案，降低环境安全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严格落实环境风险及环境安全风险防范措施。制定突发环境事件应急预案，报当地生态环境部门备案。配备充足的环境应急物资，加强应急培训和演练，有效防范、科学处置突发环境事件。对环境污染防治设施依法依规开展安全评价、评估和事故隐患排查治理，并按规定报安全生产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、在启动生产设施或者发生实际排污行为前，按照已批准的环境影响评价文件落实各项环境保护措施后，依法申领排污许可证。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项目竣工后，建设单位应当按照规定的标准和程序，对配套建设的环境保护设施进行验收，经验收合格后方可投入运行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依法向社会公开环境保护设施验收报告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Style w:val="20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批复有效期五年，项目自批复之日起五年后开工建设的，应报我局重新审核。本批复生效后，建设项目的性质、规模、地点、采用的生产工艺或者防治污染、防止生态破坏的措施发生重大变动的，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、十二师生态环境保护综合行政执法支队和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项目所属辖区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环境管理部门负责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“三同时”监督检查和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工作。你单位应在收到本批复20个工作日内，将批准后的环境影响报告表及批复分送以上监督管理机构，并按规定接受监督检查。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联系电话：0991-5270750（十二师生态环境局）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通讯地址：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乌鲁木齐市（第十二师）头屯河区五一农场振华街1777号市民中心一层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</w:p>
    <w:p>
      <w:pPr>
        <w:pStyle w:val="9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B4E85"/>
    <w:multiLevelType w:val="singleLevel"/>
    <w:tmpl w:val="E95B4E8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NTg1ZDA1MDU1ZjRiNTVjMmQ0NDk4YjczMWViZWIifQ=="/>
    <w:docVar w:name="KSO_WPS_MARK_KEY" w:val="c11e05a4-9a91-41dc-b8e4-11acccfeeb2e"/>
  </w:docVars>
  <w:rsids>
    <w:rsidRoot w:val="209C6FB6"/>
    <w:rsid w:val="01954E03"/>
    <w:rsid w:val="026D5A2C"/>
    <w:rsid w:val="036B03E5"/>
    <w:rsid w:val="076E74DB"/>
    <w:rsid w:val="07CA4C73"/>
    <w:rsid w:val="0A300945"/>
    <w:rsid w:val="0DC736EF"/>
    <w:rsid w:val="0E3A5F83"/>
    <w:rsid w:val="1130362F"/>
    <w:rsid w:val="12404419"/>
    <w:rsid w:val="1483206F"/>
    <w:rsid w:val="17712A16"/>
    <w:rsid w:val="17FD79ED"/>
    <w:rsid w:val="20920B1E"/>
    <w:rsid w:val="209C6FB6"/>
    <w:rsid w:val="22BB50C4"/>
    <w:rsid w:val="272E12A6"/>
    <w:rsid w:val="273656BF"/>
    <w:rsid w:val="2D473EFE"/>
    <w:rsid w:val="2F88375F"/>
    <w:rsid w:val="357521DE"/>
    <w:rsid w:val="36356EAC"/>
    <w:rsid w:val="378C012D"/>
    <w:rsid w:val="3D435C82"/>
    <w:rsid w:val="3FAD5A88"/>
    <w:rsid w:val="41481ED3"/>
    <w:rsid w:val="416D76A7"/>
    <w:rsid w:val="42A07B45"/>
    <w:rsid w:val="440C3582"/>
    <w:rsid w:val="448434D9"/>
    <w:rsid w:val="46C40A3A"/>
    <w:rsid w:val="4A603F96"/>
    <w:rsid w:val="4C935F3D"/>
    <w:rsid w:val="4EE6170D"/>
    <w:rsid w:val="56982E14"/>
    <w:rsid w:val="58454942"/>
    <w:rsid w:val="5902641E"/>
    <w:rsid w:val="59D76757"/>
    <w:rsid w:val="5D11106C"/>
    <w:rsid w:val="5FA01104"/>
    <w:rsid w:val="607D37A6"/>
    <w:rsid w:val="61ED1CAB"/>
    <w:rsid w:val="62D6745D"/>
    <w:rsid w:val="68A87B77"/>
    <w:rsid w:val="6CF32868"/>
    <w:rsid w:val="6EA8345D"/>
    <w:rsid w:val="700F1F41"/>
    <w:rsid w:val="70832B0E"/>
    <w:rsid w:val="744228E5"/>
    <w:rsid w:val="75114B05"/>
    <w:rsid w:val="7C5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5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Plain Text"/>
    <w:basedOn w:val="1"/>
    <w:next w:val="1"/>
    <w:qFormat/>
    <w:uiPriority w:val="0"/>
    <w:pPr>
      <w:spacing w:line="240" w:lineRule="atLeast"/>
    </w:pPr>
    <w:rPr>
      <w:rFonts w:ascii="宋体" w:hAnsi="Courier New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4"/>
    <w:qFormat/>
    <w:uiPriority w:val="0"/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</w:style>
  <w:style w:type="paragraph" w:customStyle="1" w:styleId="13">
    <w:name w:val="Default"/>
    <w:basedOn w:val="14"/>
    <w:next w:val="6"/>
    <w:qFormat/>
    <w:uiPriority w:val="0"/>
    <w:pPr>
      <w:widowControl w:val="0"/>
      <w:tabs>
        <w:tab w:val="left" w:pos="1845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纯文本1"/>
    <w:basedOn w:val="1"/>
    <w:qFormat/>
    <w:uiPriority w:val="0"/>
    <w:pPr>
      <w:tabs>
        <w:tab w:val="left" w:pos="1845"/>
      </w:tabs>
      <w:spacing w:line="240" w:lineRule="exact"/>
      <w:jc w:val="center"/>
    </w:pPr>
    <w:rPr>
      <w:sz w:val="18"/>
    </w:rPr>
  </w:style>
  <w:style w:type="paragraph" w:customStyle="1" w:styleId="15">
    <w:name w:val="1 表头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/>
      <w:color w:val="000000"/>
      <w:sz w:val="21"/>
      <w:szCs w:val="21"/>
    </w:rPr>
  </w:style>
  <w:style w:type="paragraph" w:customStyle="1" w:styleId="16">
    <w:name w:val="样式5"/>
    <w:basedOn w:val="3"/>
    <w:qFormat/>
    <w:uiPriority w:val="0"/>
    <w:pPr>
      <w:snapToGrid w:val="0"/>
      <w:spacing w:before="62" w:beforeLines="20" w:after="62" w:afterLines="20" w:line="480" w:lineRule="exact"/>
      <w:ind w:firstLine="523" w:firstLineChars="218"/>
      <w:jc w:val="both"/>
    </w:pPr>
    <w:rPr>
      <w:i/>
      <w:iCs/>
      <w:kern w:val="2"/>
      <w:sz w:val="24"/>
      <w:szCs w:val="20"/>
    </w:rPr>
  </w:style>
  <w:style w:type="paragraph" w:customStyle="1" w:styleId="17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  <w:szCs w:val="24"/>
    </w:rPr>
  </w:style>
  <w:style w:type="paragraph" w:customStyle="1" w:styleId="18">
    <w:name w:val="Normal Indent1"/>
    <w:basedOn w:val="1"/>
    <w:qFormat/>
    <w:uiPriority w:val="0"/>
    <w:pPr>
      <w:ind w:firstLine="420" w:firstLineChars="200"/>
    </w:pPr>
  </w:style>
  <w:style w:type="paragraph" w:customStyle="1" w:styleId="19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0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1">
    <w:name w:val="UserStyle_4"/>
    <w:basedOn w:val="1"/>
    <w:qFormat/>
    <w:uiPriority w:val="0"/>
    <w:pPr>
      <w:ind w:left="200" w:leftChars="200" w:firstLine="200" w:firstLineChars="200"/>
      <w:jc w:val="both"/>
      <w:textAlignment w:val="baseline"/>
    </w:pPr>
    <w:rPr>
      <w:rFonts w:ascii="宋体" w:hAnsi="宋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2332</Words>
  <Characters>2502</Characters>
  <Lines>0</Lines>
  <Paragraphs>0</Paragraphs>
  <TotalTime>0</TotalTime>
  <ScaleCrop>false</ScaleCrop>
  <LinksUpToDate>false</LinksUpToDate>
  <CharactersWithSpaces>2533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2023-03-31T08:28:00Z</dcterms:created>
  <dc:creator>Lenovo1</dc:creator>
  <cp:lastModifiedBy>Krismileˇ~</cp:lastModifiedBy>
  <cp:lastPrinted>2024-05-31T11:20:00Z</cp:lastPrinted>
  <dcterms:modified xsi:type="dcterms:W3CDTF">2024-07-18T10:05:24Z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7CD4150470454A2498ECA75123F5DD9F_13</vt:lpwstr>
  </property>
</Properties>
</file>