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480" w:lineRule="exact"/>
        <w:rPr>
          <w:rFonts w:ascii="黑体" w:hAnsi="宋体" w:eastAsia="黑体"/>
          <w:sz w:val="32"/>
          <w:szCs w:val="32"/>
        </w:rPr>
      </w:pPr>
      <w:bookmarkStart w:id="0" w:name="_GoBack"/>
      <w:bookmarkEnd w:id="0"/>
      <w:r>
        <w:rPr>
          <w:rFonts w:ascii="黑体" w:hAnsi="宋体" w:eastAsia="黑体"/>
          <w:sz w:val="32"/>
          <w:szCs w:val="32"/>
        </w:rPr>
        <w:t xml:space="preserve">                                                      </w:t>
      </w:r>
    </w:p>
    <w:tbl>
      <w:tblPr>
        <w:tblStyle w:val="8"/>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73"/>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3" w:type="dxa"/>
          </w:tcPr>
          <w:p>
            <w:pPr>
              <w:spacing w:line="360" w:lineRule="auto"/>
              <w:jc w:val="center"/>
              <w:rPr>
                <w:rFonts w:ascii="黑体" w:hAnsi="宋体" w:eastAsia="黑体"/>
                <w:b/>
                <w:spacing w:val="20"/>
                <w:w w:val="105"/>
                <w:sz w:val="44"/>
                <w:szCs w:val="44"/>
              </w:rPr>
            </w:pPr>
            <w:r>
              <w:rPr>
                <w:rFonts w:hint="eastAsia" w:ascii="黑体" w:hAnsi="宋体" w:eastAsia="黑体"/>
                <w:b/>
                <w:spacing w:val="20"/>
                <w:w w:val="105"/>
                <w:sz w:val="44"/>
                <w:szCs w:val="44"/>
              </w:rPr>
              <w:t>产品质量监督抽查实施细则</w:t>
            </w:r>
          </w:p>
        </w:tc>
      </w:tr>
    </w:tbl>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tabs>
          <w:tab w:val="left" w:pos="6930"/>
        </w:tabs>
        <w:adjustRightInd w:val="0"/>
        <w:spacing w:line="480" w:lineRule="exact"/>
        <w:jc w:val="center"/>
        <w:rPr>
          <w:rFonts w:ascii="黑体" w:hAnsi="黑体" w:eastAsia="黑体" w:cs="黑体"/>
          <w:b/>
          <w:bCs/>
          <w:sz w:val="44"/>
          <w:szCs w:val="44"/>
        </w:rPr>
      </w:pPr>
      <w:r>
        <w:rPr>
          <w:rFonts w:hint="eastAsia" w:ascii="黑体" w:hAnsi="黑体" w:eastAsia="黑体" w:cs="黑体"/>
          <w:b/>
          <w:bCs/>
          <w:sz w:val="44"/>
          <w:szCs w:val="44"/>
        </w:rPr>
        <w:t>202</w:t>
      </w:r>
      <w:r>
        <w:rPr>
          <w:rFonts w:hint="eastAsia" w:ascii="黑体" w:hAnsi="黑体" w:eastAsia="黑体" w:cs="黑体"/>
          <w:b/>
          <w:bCs/>
          <w:sz w:val="44"/>
          <w:szCs w:val="44"/>
          <w:lang w:val="en-US" w:eastAsia="zh-CN"/>
        </w:rPr>
        <w:t>4</w:t>
      </w:r>
      <w:r>
        <w:rPr>
          <w:rFonts w:hint="eastAsia" w:ascii="黑体" w:hAnsi="黑体" w:eastAsia="黑体" w:cs="黑体"/>
          <w:b/>
          <w:bCs/>
          <w:sz w:val="44"/>
          <w:szCs w:val="44"/>
        </w:rPr>
        <w:t>年新疆生产建设兵团</w:t>
      </w:r>
      <w:r>
        <w:rPr>
          <w:rFonts w:hint="eastAsia" w:ascii="黑体" w:hAnsi="黑体" w:eastAsia="黑体" w:cs="黑体"/>
          <w:b/>
          <w:bCs/>
          <w:sz w:val="44"/>
          <w:szCs w:val="44"/>
          <w:lang w:val="en-US" w:eastAsia="zh-CN"/>
        </w:rPr>
        <w:t>第十二师</w:t>
      </w:r>
      <w:r>
        <w:rPr>
          <w:rFonts w:hint="eastAsia" w:ascii="黑体" w:hAnsi="黑体" w:eastAsia="黑体" w:cs="黑体"/>
          <w:b/>
          <w:bCs/>
          <w:sz w:val="44"/>
          <w:szCs w:val="44"/>
        </w:rPr>
        <w:t>电热水壶</w:t>
      </w:r>
    </w:p>
    <w:p>
      <w:pPr>
        <w:tabs>
          <w:tab w:val="left" w:pos="6930"/>
        </w:tabs>
        <w:adjustRightInd w:val="0"/>
        <w:spacing w:line="480" w:lineRule="exact"/>
        <w:jc w:val="center"/>
        <w:rPr>
          <w:rFonts w:ascii="黑体" w:hAnsi="黑体" w:eastAsia="黑体" w:cs="黑体"/>
          <w:b/>
          <w:bCs/>
          <w:sz w:val="44"/>
          <w:szCs w:val="44"/>
        </w:rPr>
      </w:pPr>
      <w:r>
        <w:rPr>
          <w:rFonts w:hint="eastAsia" w:ascii="黑体" w:hAnsi="黑体" w:eastAsia="黑体" w:cs="黑体"/>
          <w:b/>
          <w:bCs/>
          <w:sz w:val="44"/>
          <w:szCs w:val="44"/>
        </w:rPr>
        <w:t>产品质量监督抽查实施细则</w:t>
      </w:r>
    </w:p>
    <w:p>
      <w:pPr>
        <w:tabs>
          <w:tab w:val="left" w:pos="6930"/>
        </w:tabs>
        <w:adjustRightInd w:val="0"/>
        <w:spacing w:line="480" w:lineRule="exact"/>
        <w:jc w:val="left"/>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r>
        <mc:AlternateContent>
          <mc:Choice Requires="wps">
            <w:drawing>
              <wp:anchor distT="0" distB="0" distL="114300" distR="114300" simplePos="0" relativeHeight="251659264" behindDoc="0" locked="0" layoutInCell="1" allowOverlap="1">
                <wp:simplePos x="0" y="0"/>
                <wp:positionH relativeFrom="page">
                  <wp:posOffset>2400300</wp:posOffset>
                </wp:positionH>
                <wp:positionV relativeFrom="page">
                  <wp:posOffset>6461760</wp:posOffset>
                </wp:positionV>
                <wp:extent cx="1440180" cy="198120"/>
                <wp:effectExtent l="0" t="3810" r="0" b="0"/>
                <wp:wrapNone/>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189pt;margin-top:508.8pt;height:15.6pt;width:113.4pt;mso-position-horizontal-relative:page;mso-position-vertical-relative:page;z-index:251659264;mso-width-relative:page;mso-height-relative:page;" fillcolor="#FFFFFF" filled="t" stroked="f" coordsize="21600,21600" o:gfxdata="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s30EO&#10;2gAAAA0BAAAPAAAAAAAAAAEAIAAAACIAAABkcnMvZG93bnJldi54bWxQSwECFAAUAAAACACHTuJA&#10;6GaSAB8CAAAuBAAADgAAAAAAAAABACAAAAApAQAAZHJzL2Uyb0RvYy54bWxQSwUGAAAAAAYABgBZ&#10;AQAAugUAAAAA&#10;">
                <v:fill on="t" focussize="0,0"/>
                <v:stroke on="f"/>
                <v:imagedata o:title=""/>
                <o:lock v:ext="edit" aspectratio="f"/>
                <v:textbox inset="0mm,0mm,0mm,0mm">
                  <w:txbxContent>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page">
                  <wp:posOffset>3657600</wp:posOffset>
                </wp:positionH>
                <wp:positionV relativeFrom="page">
                  <wp:posOffset>6865620</wp:posOffset>
                </wp:positionV>
                <wp:extent cx="1440180" cy="198120"/>
                <wp:effectExtent l="0" t="0" r="0" b="3810"/>
                <wp:wrapNone/>
                <wp:docPr id="2"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txbxContent>
                      </wps:txbx>
                      <wps:bodyPr rot="0" vert="horz" wrap="square" lIns="0" tIns="0" rIns="0" bIns="0" anchor="t" anchorCtr="0" upright="1">
                        <a:noAutofit/>
                      </wps:bodyPr>
                    </wps:wsp>
                  </a:graphicData>
                </a:graphic>
              </wp:anchor>
            </w:drawing>
          </mc:Choice>
          <mc:Fallback>
            <w:pict>
              <v:shape id="文本框 3" o:spid="_x0000_s1026" o:spt="202" type="#_x0000_t202" style="position:absolute;left:0pt;margin-left:288pt;margin-top:540.6pt;height:15.6pt;width:113.4pt;mso-position-horizontal-relative:page;mso-position-vertical-relative:page;z-index:251660288;mso-width-relative:page;mso-height-relative:page;" fillcolor="#FFFFFF" filled="t" stroked="f" coordsize="21600,21600" o:gfxdata="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QlI8X&#10;2gAAAA0BAAAPAAAAAAAAAAEAIAAAACIAAABkcnMvZG93bnJldi54bWxQSwECFAAUAAAACACHTuJA&#10;etSQUB8CAAAuBAAADgAAAAAAAAABACAAAAApAQAAZHJzL2Uyb0RvYy54bWxQSwUGAAAAAAYABgBZ&#10;AQAAugUAAAAA&#10;">
                <v:fill on="t" focussize="0,0"/>
                <v:stroke on="f"/>
                <v:imagedata o:title=""/>
                <o:lock v:ext="edit" aspectratio="f"/>
                <v:textbox inset="0mm,0mm,0mm,0mm">
                  <w:txbxContent>
                    <w:p/>
                  </w:txbxContent>
                </v:textbox>
              </v:shape>
            </w:pict>
          </mc:Fallback>
        </mc:AlternateContent>
      </w: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jc w:val="center"/>
        <w:rPr>
          <w:rFonts w:ascii="黑体" w:hAnsi="宋体" w:eastAsia="黑体"/>
          <w:b/>
          <w:sz w:val="52"/>
          <w:szCs w:val="52"/>
        </w:rPr>
      </w:pPr>
    </w:p>
    <w:p>
      <w:pPr>
        <w:adjustRightInd w:val="0"/>
        <w:spacing w:line="480" w:lineRule="exact"/>
        <w:rPr>
          <w:rFonts w:ascii="黑体" w:hAnsi="宋体" w:eastAsia="黑体"/>
          <w:b/>
          <w:sz w:val="52"/>
          <w:szCs w:val="52"/>
        </w:rPr>
      </w:pPr>
    </w:p>
    <w:p>
      <w:pPr>
        <w:adjustRightInd w:val="0"/>
        <w:spacing w:line="480" w:lineRule="exact"/>
        <w:rPr>
          <w:rFonts w:ascii="黑体" w:hAnsi="宋体" w:eastAsia="黑体"/>
          <w:b/>
          <w:sz w:val="52"/>
          <w:szCs w:val="52"/>
        </w:rPr>
      </w:pPr>
    </w:p>
    <w:p>
      <w:pPr>
        <w:adjustRightInd w:val="0"/>
        <w:spacing w:line="480" w:lineRule="exact"/>
        <w:rPr>
          <w:rFonts w:ascii="黑体" w:hAnsi="宋体" w:eastAsia="黑体"/>
          <w:b/>
          <w:sz w:val="52"/>
          <w:szCs w:val="52"/>
        </w:rPr>
      </w:pPr>
    </w:p>
    <w:p>
      <w:pPr>
        <w:numPr>
          <w:ilvl w:val="0"/>
          <w:numId w:val="0"/>
        </w:numPr>
        <w:adjustRightInd w:val="0"/>
        <w:spacing w:line="480" w:lineRule="exact"/>
        <w:ind w:right="-693" w:rightChars="-330"/>
        <w:rPr>
          <w:rFonts w:ascii="黑体" w:hAnsi="宋体" w:eastAsia="黑体"/>
          <w:sz w:val="28"/>
          <w:szCs w:val="28"/>
          <w:u w:val="single"/>
        </w:rPr>
      </w:pPr>
      <w:r>
        <w:rPr>
          <w:rFonts w:hint="eastAsia" w:ascii="黑体" w:hAnsi="宋体" w:eastAsia="黑体"/>
          <w:sz w:val="28"/>
          <w:szCs w:val="28"/>
          <w:u w:val="single"/>
          <w:lang w:val="en-US" w:eastAsia="zh-CN"/>
        </w:rPr>
        <w:t>2024</w:t>
      </w:r>
      <w:r>
        <w:rPr>
          <w:rFonts w:hint="eastAsia" w:ascii="黑体" w:hAnsi="宋体" w:eastAsia="黑体"/>
          <w:sz w:val="28"/>
          <w:szCs w:val="28"/>
          <w:u w:val="single"/>
        </w:rPr>
        <w:t>-</w:t>
      </w:r>
      <w:r>
        <w:rPr>
          <w:rFonts w:hint="eastAsia" w:ascii="黑体" w:hAnsi="宋体" w:eastAsia="黑体"/>
          <w:sz w:val="28"/>
          <w:szCs w:val="28"/>
          <w:u w:val="single"/>
          <w:lang w:val="en-US" w:eastAsia="zh-CN"/>
        </w:rPr>
        <w:t xml:space="preserve">  -  </w:t>
      </w:r>
      <w:r>
        <w:rPr>
          <w:rFonts w:hint="eastAsia" w:ascii="黑体" w:hAnsi="宋体" w:eastAsia="黑体"/>
          <w:sz w:val="28"/>
          <w:szCs w:val="28"/>
          <w:u w:val="single"/>
        </w:rPr>
        <w:t>发布                                       20</w:t>
      </w:r>
      <w:r>
        <w:rPr>
          <w:rFonts w:ascii="黑体" w:hAnsi="宋体" w:eastAsia="黑体"/>
          <w:sz w:val="28"/>
          <w:szCs w:val="28"/>
          <w:u w:val="single"/>
        </w:rPr>
        <w:t>2</w:t>
      </w:r>
      <w:r>
        <w:rPr>
          <w:rFonts w:hint="eastAsia" w:ascii="黑体" w:hAnsi="宋体" w:eastAsia="黑体"/>
          <w:sz w:val="28"/>
          <w:szCs w:val="28"/>
          <w:u w:val="single"/>
          <w:lang w:val="en-US" w:eastAsia="zh-CN"/>
        </w:rPr>
        <w:t>4</w:t>
      </w:r>
      <w:r>
        <w:rPr>
          <w:rFonts w:hint="eastAsia" w:ascii="黑体" w:hAnsi="宋体" w:eastAsia="黑体"/>
          <w:sz w:val="28"/>
          <w:szCs w:val="28"/>
          <w:u w:val="single"/>
        </w:rPr>
        <w:t>-</w:t>
      </w:r>
      <w:r>
        <w:rPr>
          <w:rFonts w:hint="eastAsia" w:ascii="黑体" w:hAnsi="宋体" w:eastAsia="黑体"/>
          <w:sz w:val="28"/>
          <w:szCs w:val="28"/>
          <w:u w:val="single"/>
          <w:lang w:val="en-US" w:eastAsia="zh-CN"/>
        </w:rPr>
        <w:t xml:space="preserve">  </w:t>
      </w:r>
      <w:r>
        <w:rPr>
          <w:rFonts w:hint="eastAsia" w:ascii="黑体" w:hAnsi="宋体" w:eastAsia="黑体"/>
          <w:sz w:val="28"/>
          <w:szCs w:val="28"/>
          <w:u w:val="single"/>
        </w:rPr>
        <w:t>-</w:t>
      </w:r>
      <w:r>
        <w:rPr>
          <w:rFonts w:hint="eastAsia" w:ascii="黑体" w:hAnsi="宋体" w:eastAsia="黑体"/>
          <w:sz w:val="28"/>
          <w:szCs w:val="28"/>
          <w:u w:val="single"/>
          <w:lang w:val="en-US" w:eastAsia="zh-CN"/>
        </w:rPr>
        <w:t xml:space="preserve">  </w:t>
      </w:r>
      <w:r>
        <w:rPr>
          <w:rFonts w:hint="eastAsia" w:ascii="黑体" w:hAnsi="宋体" w:eastAsia="黑体"/>
          <w:sz w:val="28"/>
          <w:szCs w:val="28"/>
          <w:u w:val="single"/>
        </w:rPr>
        <w:t xml:space="preserve">实施                          </w:t>
      </w:r>
    </w:p>
    <w:p>
      <w:pPr>
        <w:adjustRightInd w:val="0"/>
        <w:spacing w:line="480" w:lineRule="exact"/>
        <w:ind w:right="-334" w:rightChars="-159"/>
        <w:jc w:val="center"/>
        <w:rPr>
          <w:rFonts w:ascii="黑体" w:hAnsi="宋体" w:eastAsia="黑体"/>
          <w:sz w:val="36"/>
          <w:szCs w:val="36"/>
        </w:rPr>
      </w:pPr>
      <w:r>
        <w:rPr>
          <w:rFonts w:hint="eastAsia" w:ascii="黑体" w:hAnsi="宋体" w:eastAsia="黑体"/>
          <w:sz w:val="36"/>
          <w:szCs w:val="36"/>
        </w:rPr>
        <w:t>新疆生产建设兵团</w:t>
      </w:r>
      <w:r>
        <w:rPr>
          <w:rFonts w:hint="eastAsia" w:ascii="黑体" w:hAnsi="宋体" w:eastAsia="黑体"/>
          <w:sz w:val="36"/>
          <w:szCs w:val="36"/>
          <w:lang w:val="en-US" w:eastAsia="zh-CN"/>
        </w:rPr>
        <w:t>第十二师</w:t>
      </w:r>
      <w:r>
        <w:rPr>
          <w:rFonts w:hint="eastAsia" w:ascii="黑体" w:hAnsi="宋体" w:eastAsia="黑体"/>
          <w:sz w:val="36"/>
          <w:szCs w:val="36"/>
        </w:rPr>
        <w:t>市场监督管理局</w:t>
      </w:r>
    </w:p>
    <w:p>
      <w:pPr>
        <w:adjustRightInd w:val="0"/>
        <w:spacing w:line="480" w:lineRule="exact"/>
        <w:jc w:val="center"/>
        <w:rPr>
          <w:rFonts w:hint="eastAsia" w:ascii="方正小标宋_GBK" w:hAnsi="宋体" w:eastAsia="方正小标宋_GBK" w:cs="Times New Roman"/>
          <w:b/>
          <w:sz w:val="32"/>
          <w:szCs w:val="32"/>
          <w:lang w:eastAsia="zh-CN"/>
        </w:rPr>
      </w:pPr>
      <w:r>
        <w:rPr>
          <w:rFonts w:ascii="方正小标宋简体" w:hAnsi="仿宋" w:eastAsia="方正小标宋简体" w:cs="方正仿宋简体"/>
          <w:sz w:val="32"/>
          <w:szCs w:val="32"/>
        </w:rPr>
        <w:br w:type="page"/>
      </w:r>
      <w:r>
        <w:rPr>
          <w:rFonts w:hint="eastAsia" w:ascii="方正小标宋_GBK" w:hAnsi="宋体" w:eastAsia="方正小标宋_GBK" w:cs="Times New Roman"/>
          <w:b/>
          <w:sz w:val="32"/>
          <w:szCs w:val="32"/>
          <w:lang w:eastAsia="zh-CN"/>
        </w:rPr>
        <w:t>202</w:t>
      </w:r>
      <w:r>
        <w:rPr>
          <w:rFonts w:hint="eastAsia" w:ascii="方正小标宋_GBK" w:hAnsi="宋体" w:eastAsia="方正小标宋_GBK" w:cs="Times New Roman"/>
          <w:b/>
          <w:sz w:val="32"/>
          <w:szCs w:val="32"/>
          <w:lang w:val="en-US" w:eastAsia="zh-CN"/>
        </w:rPr>
        <w:t>4</w:t>
      </w:r>
      <w:r>
        <w:rPr>
          <w:rFonts w:hint="eastAsia" w:ascii="方正小标宋_GBK" w:hAnsi="宋体" w:eastAsia="方正小标宋_GBK" w:cs="Times New Roman"/>
          <w:b/>
          <w:sz w:val="32"/>
          <w:szCs w:val="32"/>
          <w:lang w:eastAsia="zh-CN"/>
        </w:rPr>
        <w:t>年新疆生产建设兵团</w:t>
      </w:r>
      <w:r>
        <w:rPr>
          <w:rFonts w:hint="eastAsia" w:ascii="方正小标宋_GBK" w:hAnsi="宋体" w:eastAsia="方正小标宋_GBK" w:cs="Times New Roman"/>
          <w:b/>
          <w:sz w:val="32"/>
          <w:szCs w:val="32"/>
          <w:lang w:val="en-US" w:eastAsia="zh-CN"/>
        </w:rPr>
        <w:t>第十二师</w:t>
      </w:r>
      <w:r>
        <w:rPr>
          <w:rFonts w:hint="eastAsia" w:ascii="方正小标宋_GBK" w:hAnsi="宋体" w:eastAsia="方正小标宋_GBK" w:cs="Times New Roman"/>
          <w:b/>
          <w:sz w:val="32"/>
          <w:szCs w:val="32"/>
          <w:lang w:eastAsia="zh-CN"/>
        </w:rPr>
        <w:t>电热水壶产品</w:t>
      </w:r>
    </w:p>
    <w:p>
      <w:pPr>
        <w:adjustRightInd w:val="0"/>
        <w:spacing w:line="480" w:lineRule="exact"/>
        <w:jc w:val="center"/>
        <w:rPr>
          <w:rFonts w:hint="eastAsia" w:ascii="方正小标宋_GBK" w:hAnsi="宋体" w:eastAsia="方正小标宋_GBK" w:cs="Times New Roman"/>
          <w:b/>
          <w:sz w:val="32"/>
          <w:szCs w:val="32"/>
          <w:lang w:eastAsia="zh-CN"/>
        </w:rPr>
      </w:pPr>
      <w:r>
        <w:rPr>
          <w:rFonts w:hint="eastAsia" w:ascii="方正小标宋_GBK" w:hAnsi="宋体" w:eastAsia="方正小标宋_GBK" w:cs="Times New Roman"/>
          <w:b/>
          <w:sz w:val="32"/>
          <w:szCs w:val="32"/>
          <w:lang w:eastAsia="zh-CN"/>
        </w:rPr>
        <w:t>质量监督抽查实施细则</w:t>
      </w:r>
    </w:p>
    <w:p>
      <w:pPr>
        <w:adjustRightInd w:val="0"/>
        <w:snapToGrid w:val="0"/>
        <w:spacing w:before="312" w:beforeLines="100" w:line="360" w:lineRule="auto"/>
        <w:rPr>
          <w:rFonts w:ascii="黑体" w:hAnsi="黑体" w:eastAsia="黑体"/>
          <w:b/>
          <w:szCs w:val="21"/>
        </w:rPr>
      </w:pPr>
      <w:r>
        <w:rPr>
          <w:rFonts w:hint="eastAsia" w:ascii="黑体" w:hAnsi="黑体" w:eastAsia="黑体"/>
          <w:b/>
          <w:szCs w:val="21"/>
        </w:rPr>
        <w:t>1 抽样方法</w:t>
      </w:r>
    </w:p>
    <w:p>
      <w:pPr>
        <w:spacing w:line="360" w:lineRule="auto"/>
        <w:rPr>
          <w:rFonts w:ascii="宋体" w:hAnsi="宋体"/>
          <w:bCs/>
          <w:szCs w:val="21"/>
        </w:rPr>
      </w:pPr>
      <w:r>
        <w:rPr>
          <w:rFonts w:hint="eastAsia" w:ascii="宋体" w:hAnsi="宋体"/>
          <w:bCs/>
          <w:szCs w:val="21"/>
        </w:rPr>
        <w:t>1.1在新疆生产建设兵团</w:t>
      </w:r>
      <w:r>
        <w:rPr>
          <w:rFonts w:hint="eastAsia" w:ascii="宋体" w:hAnsi="宋体"/>
          <w:bCs/>
          <w:szCs w:val="21"/>
          <w:lang w:val="en-US" w:eastAsia="zh-CN"/>
        </w:rPr>
        <w:t>第十二师行政区</w:t>
      </w:r>
      <w:r>
        <w:rPr>
          <w:rFonts w:hint="eastAsia" w:ascii="宋体" w:hAnsi="宋体"/>
          <w:bCs/>
          <w:szCs w:val="21"/>
        </w:rPr>
        <w:t>内电热水壶销售单位待销产品中随机抽取有产品质量检验合格证明或者以其他形式表明合格的产品。</w:t>
      </w:r>
    </w:p>
    <w:p>
      <w:pPr>
        <w:spacing w:line="360" w:lineRule="auto"/>
        <w:rPr>
          <w:rFonts w:ascii="宋体" w:hAnsi="宋体"/>
          <w:bCs/>
          <w:szCs w:val="21"/>
        </w:rPr>
      </w:pPr>
      <w:r>
        <w:rPr>
          <w:rFonts w:ascii="宋体" w:hAnsi="宋体"/>
          <w:bCs/>
          <w:szCs w:val="21"/>
        </w:rPr>
        <w:t>1.2</w:t>
      </w:r>
      <w:r>
        <w:rPr>
          <w:rFonts w:hint="eastAsia" w:ascii="宋体" w:hAnsi="宋体"/>
          <w:bCs/>
          <w:szCs w:val="21"/>
        </w:rPr>
        <w:t>抽取样品应为同一生产企业生产的同一种类、同一型号规格、同一批次的产品。</w:t>
      </w:r>
    </w:p>
    <w:p>
      <w:pPr>
        <w:spacing w:line="360" w:lineRule="auto"/>
        <w:rPr>
          <w:rFonts w:ascii="宋体" w:hAnsi="宋体"/>
          <w:bCs/>
          <w:szCs w:val="21"/>
        </w:rPr>
      </w:pPr>
      <w:r>
        <w:rPr>
          <w:rFonts w:hint="eastAsia" w:ascii="宋体" w:hAnsi="宋体"/>
          <w:bCs/>
          <w:szCs w:val="21"/>
        </w:rPr>
        <w:t>1.3抽查样品基数满足抽样数量即可。</w:t>
      </w:r>
    </w:p>
    <w:p>
      <w:pPr>
        <w:spacing w:line="360" w:lineRule="auto"/>
        <w:ind w:firstLine="420" w:firstLineChars="200"/>
        <w:rPr>
          <w:szCs w:val="21"/>
        </w:rPr>
      </w:pPr>
      <w:r>
        <w:rPr>
          <w:rFonts w:hint="eastAsia"/>
          <w:szCs w:val="21"/>
        </w:rPr>
        <w:t>每批次产品抽取样品</w:t>
      </w:r>
      <w:r>
        <w:rPr>
          <w:rFonts w:hint="eastAsia"/>
          <w:szCs w:val="21"/>
          <w:lang w:val="en-US" w:eastAsia="zh-CN"/>
        </w:rPr>
        <w:t>2</w:t>
      </w:r>
      <w:r>
        <w:rPr>
          <w:rFonts w:hint="eastAsia"/>
          <w:szCs w:val="21"/>
        </w:rPr>
        <w:t>台，其中</w:t>
      </w:r>
      <w:r>
        <w:rPr>
          <w:rFonts w:hint="eastAsia"/>
          <w:szCs w:val="21"/>
          <w:lang w:val="en-US" w:eastAsia="zh-CN"/>
        </w:rPr>
        <w:t>1</w:t>
      </w:r>
      <w:r>
        <w:rPr>
          <w:rFonts w:hint="eastAsia"/>
          <w:szCs w:val="21"/>
        </w:rPr>
        <w:t>台作为检验样品，</w:t>
      </w:r>
      <w:r>
        <w:rPr>
          <w:szCs w:val="21"/>
        </w:rPr>
        <w:t>1</w:t>
      </w:r>
      <w:r>
        <w:rPr>
          <w:rFonts w:hint="eastAsia"/>
          <w:szCs w:val="21"/>
        </w:rPr>
        <w:t>台作为备用样品。</w:t>
      </w:r>
    </w:p>
    <w:p>
      <w:pPr>
        <w:spacing w:line="360" w:lineRule="auto"/>
        <w:ind w:firstLine="420" w:firstLineChars="200"/>
        <w:rPr>
          <w:rFonts w:ascii="宋体" w:hAnsi="宋体"/>
          <w:bCs/>
          <w:szCs w:val="21"/>
        </w:rPr>
      </w:pPr>
      <w:r>
        <w:rPr>
          <w:rFonts w:hint="eastAsia" w:ascii="宋体" w:hAnsi="宋体"/>
          <w:szCs w:val="21"/>
        </w:rPr>
        <w:t>随机数一般可使用随机数表、骰子或扑克牌等方法产生。</w:t>
      </w:r>
    </w:p>
    <w:p>
      <w:pPr>
        <w:adjustRightInd w:val="0"/>
        <w:snapToGrid w:val="0"/>
        <w:spacing w:before="312" w:beforeLines="100" w:line="360" w:lineRule="auto"/>
        <w:rPr>
          <w:rFonts w:ascii="黑体" w:hAnsi="黑体" w:eastAsia="黑体"/>
          <w:b/>
          <w:szCs w:val="21"/>
        </w:rPr>
      </w:pPr>
      <w:r>
        <w:rPr>
          <w:rFonts w:hint="eastAsia" w:ascii="黑体" w:hAnsi="黑体" w:eastAsia="黑体"/>
          <w:b/>
          <w:szCs w:val="21"/>
        </w:rPr>
        <w:t>2 检验依据</w:t>
      </w:r>
    </w:p>
    <w:tbl>
      <w:tblPr>
        <w:tblStyle w:val="8"/>
        <w:tblW w:w="8926" w:type="dxa"/>
        <w:jc w:val="righ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2"/>
        <w:gridCol w:w="3562"/>
        <w:gridCol w:w="2417"/>
        <w:gridCol w:w="2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right"/>
        </w:trPr>
        <w:tc>
          <w:tcPr>
            <w:tcW w:w="722" w:type="dxa"/>
            <w:tcBorders>
              <w:left w:val="single" w:color="000000" w:sz="4" w:space="0"/>
              <w:bottom w:val="single" w:color="000000" w:sz="4" w:space="0"/>
              <w:right w:val="single" w:color="000000" w:sz="4" w:space="0"/>
            </w:tcBorders>
            <w:vAlign w:val="center"/>
          </w:tcPr>
          <w:p>
            <w:pPr>
              <w:snapToGrid w:val="0"/>
              <w:jc w:val="center"/>
              <w:rPr>
                <w:rFonts w:ascii="黑体" w:hAnsi="黑体" w:eastAsia="黑体"/>
                <w:sz w:val="18"/>
                <w:szCs w:val="18"/>
              </w:rPr>
            </w:pPr>
            <w:r>
              <w:rPr>
                <w:rFonts w:hint="eastAsia" w:ascii="黑体" w:hAnsi="黑体" w:eastAsia="黑体"/>
                <w:sz w:val="18"/>
                <w:szCs w:val="18"/>
              </w:rPr>
              <w:t>序号</w:t>
            </w:r>
          </w:p>
        </w:tc>
        <w:tc>
          <w:tcPr>
            <w:tcW w:w="3562" w:type="dxa"/>
            <w:tcBorders>
              <w:left w:val="single" w:color="000000" w:sz="4" w:space="0"/>
              <w:bottom w:val="single" w:color="000000" w:sz="4" w:space="0"/>
              <w:right w:val="single" w:color="000000" w:sz="4" w:space="0"/>
            </w:tcBorders>
            <w:vAlign w:val="center"/>
          </w:tcPr>
          <w:p>
            <w:pPr>
              <w:snapToGrid w:val="0"/>
              <w:jc w:val="center"/>
              <w:rPr>
                <w:rFonts w:ascii="黑体" w:hAnsi="黑体" w:eastAsia="黑体"/>
                <w:sz w:val="18"/>
                <w:szCs w:val="18"/>
              </w:rPr>
            </w:pPr>
            <w:r>
              <w:rPr>
                <w:rFonts w:hint="eastAsia" w:ascii="黑体" w:hAnsi="黑体" w:eastAsia="黑体"/>
                <w:sz w:val="18"/>
                <w:szCs w:val="18"/>
              </w:rPr>
              <w:t>试验项目</w:t>
            </w:r>
          </w:p>
        </w:tc>
        <w:tc>
          <w:tcPr>
            <w:tcW w:w="2417" w:type="dxa"/>
            <w:tcBorders>
              <w:left w:val="single" w:color="000000" w:sz="4" w:space="0"/>
              <w:bottom w:val="single" w:color="000000" w:sz="4" w:space="0"/>
              <w:right w:val="single" w:color="auto" w:sz="4" w:space="0"/>
            </w:tcBorders>
            <w:vAlign w:val="center"/>
          </w:tcPr>
          <w:p>
            <w:pPr>
              <w:jc w:val="center"/>
              <w:rPr>
                <w:rFonts w:hint="eastAsia" w:ascii="黑体" w:hAnsi="黑体" w:eastAsia="黑体"/>
                <w:sz w:val="18"/>
                <w:szCs w:val="18"/>
                <w:lang w:val="en-US" w:eastAsia="zh-CN"/>
              </w:rPr>
            </w:pPr>
            <w:r>
              <w:rPr>
                <w:rFonts w:hint="eastAsia" w:ascii="黑体" w:hAnsi="黑体" w:eastAsia="黑体"/>
                <w:sz w:val="18"/>
                <w:szCs w:val="18"/>
                <w:lang w:val="en-US" w:eastAsia="zh-CN"/>
              </w:rPr>
              <w:t>检验依据</w:t>
            </w:r>
          </w:p>
        </w:tc>
        <w:tc>
          <w:tcPr>
            <w:tcW w:w="2225" w:type="dxa"/>
            <w:tcBorders>
              <w:left w:val="single" w:color="000000" w:sz="4" w:space="0"/>
              <w:bottom w:val="single" w:color="000000" w:sz="4" w:space="0"/>
              <w:right w:val="single" w:color="auto" w:sz="4" w:space="0"/>
            </w:tcBorders>
            <w:vAlign w:val="center"/>
          </w:tcPr>
          <w:p>
            <w:pPr>
              <w:jc w:val="center"/>
              <w:rPr>
                <w:rFonts w:ascii="黑体" w:hAnsi="黑体" w:eastAsia="黑体"/>
                <w:sz w:val="18"/>
                <w:szCs w:val="18"/>
              </w:rPr>
            </w:pPr>
            <w:r>
              <w:rPr>
                <w:rFonts w:hint="eastAsia" w:ascii="黑体" w:hAnsi="黑体" w:eastAsia="黑体"/>
                <w:sz w:val="18"/>
                <w:szCs w:val="18"/>
              </w:rPr>
              <w:t>检验方法标准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right"/>
        </w:trPr>
        <w:tc>
          <w:tcPr>
            <w:tcW w:w="72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宋体" w:hAnsi="宋体"/>
                <w:sz w:val="18"/>
                <w:szCs w:val="18"/>
              </w:rPr>
            </w:pPr>
            <w:r>
              <w:rPr>
                <w:rFonts w:ascii="宋体" w:hAnsi="宋体"/>
                <w:sz w:val="18"/>
                <w:szCs w:val="18"/>
              </w:rPr>
              <w:t>1</w:t>
            </w:r>
          </w:p>
        </w:tc>
        <w:tc>
          <w:tcPr>
            <w:tcW w:w="356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对触及带电部件的防护（除8.1.4条）</w:t>
            </w:r>
          </w:p>
        </w:tc>
        <w:tc>
          <w:tcPr>
            <w:tcW w:w="2417"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eastAsia="宋体" w:cs="Times New Roman"/>
                <w:kern w:val="2"/>
                <w:sz w:val="18"/>
                <w:szCs w:val="18"/>
                <w:lang w:val="en-US" w:eastAsia="zh-CN" w:bidi="ar-SA"/>
              </w:rPr>
            </w:pPr>
            <w:r>
              <w:rPr>
                <w:rFonts w:ascii="宋体" w:hAnsi="宋体"/>
                <w:sz w:val="18"/>
                <w:szCs w:val="18"/>
              </w:rPr>
              <w:t xml:space="preserve">GB 4706.19-2008 </w:t>
            </w:r>
          </w:p>
        </w:tc>
        <w:tc>
          <w:tcPr>
            <w:tcW w:w="2225"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sz w:val="18"/>
                <w:szCs w:val="18"/>
              </w:rPr>
            </w:pPr>
            <w:r>
              <w:rPr>
                <w:rFonts w:ascii="宋体" w:hAnsi="宋体"/>
                <w:sz w:val="18"/>
                <w:szCs w:val="18"/>
              </w:rPr>
              <w:t xml:space="preserve">GB 4706.19-2008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right"/>
        </w:trPr>
        <w:tc>
          <w:tcPr>
            <w:tcW w:w="72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宋体" w:hAnsi="宋体"/>
                <w:sz w:val="18"/>
                <w:szCs w:val="18"/>
              </w:rPr>
            </w:pPr>
            <w:r>
              <w:rPr>
                <w:rFonts w:ascii="宋体" w:hAnsi="宋体"/>
                <w:sz w:val="18"/>
                <w:szCs w:val="18"/>
              </w:rPr>
              <w:t>2</w:t>
            </w:r>
          </w:p>
        </w:tc>
        <w:tc>
          <w:tcPr>
            <w:tcW w:w="356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输入功率和电流</w:t>
            </w:r>
          </w:p>
        </w:tc>
        <w:tc>
          <w:tcPr>
            <w:tcW w:w="2417"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eastAsia="宋体" w:cs="Times New Roman"/>
                <w:kern w:val="2"/>
                <w:sz w:val="18"/>
                <w:szCs w:val="18"/>
                <w:lang w:val="en-US" w:eastAsia="zh-CN" w:bidi="ar-SA"/>
              </w:rPr>
            </w:pPr>
            <w:r>
              <w:rPr>
                <w:rFonts w:ascii="宋体" w:hAnsi="宋体"/>
                <w:sz w:val="18"/>
                <w:szCs w:val="18"/>
              </w:rPr>
              <w:t xml:space="preserve">GB 4706.19-2008 </w:t>
            </w:r>
          </w:p>
        </w:tc>
        <w:tc>
          <w:tcPr>
            <w:tcW w:w="2225"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sz w:val="18"/>
                <w:szCs w:val="18"/>
              </w:rPr>
            </w:pPr>
            <w:r>
              <w:rPr>
                <w:rFonts w:ascii="宋体" w:hAnsi="宋体"/>
                <w:sz w:val="18"/>
                <w:szCs w:val="18"/>
              </w:rPr>
              <w:t xml:space="preserve">GB 4706.19-2008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right"/>
        </w:trPr>
        <w:tc>
          <w:tcPr>
            <w:tcW w:w="72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宋体" w:hAnsi="宋体"/>
                <w:sz w:val="18"/>
                <w:szCs w:val="18"/>
              </w:rPr>
            </w:pPr>
            <w:r>
              <w:rPr>
                <w:rFonts w:hint="eastAsia" w:ascii="宋体" w:hAnsi="宋体"/>
                <w:sz w:val="18"/>
                <w:szCs w:val="18"/>
              </w:rPr>
              <w:t>3</w:t>
            </w:r>
          </w:p>
        </w:tc>
        <w:tc>
          <w:tcPr>
            <w:tcW w:w="356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发热</w:t>
            </w:r>
          </w:p>
        </w:tc>
        <w:tc>
          <w:tcPr>
            <w:tcW w:w="2417"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eastAsia="宋体" w:cs="Times New Roman"/>
                <w:kern w:val="2"/>
                <w:sz w:val="18"/>
                <w:szCs w:val="18"/>
                <w:lang w:val="en-US" w:eastAsia="zh-CN" w:bidi="ar-SA"/>
              </w:rPr>
            </w:pPr>
            <w:r>
              <w:rPr>
                <w:rFonts w:ascii="宋体" w:hAnsi="宋体"/>
                <w:sz w:val="18"/>
                <w:szCs w:val="18"/>
              </w:rPr>
              <w:t xml:space="preserve">GB 4706.19-2008 </w:t>
            </w:r>
          </w:p>
        </w:tc>
        <w:tc>
          <w:tcPr>
            <w:tcW w:w="2225"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sz w:val="18"/>
                <w:szCs w:val="18"/>
              </w:rPr>
            </w:pPr>
            <w:r>
              <w:rPr>
                <w:rFonts w:ascii="宋体" w:hAnsi="宋体"/>
                <w:sz w:val="18"/>
                <w:szCs w:val="18"/>
              </w:rPr>
              <w:t xml:space="preserve">GB 4706.19-2008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right"/>
        </w:trPr>
        <w:tc>
          <w:tcPr>
            <w:tcW w:w="722"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宋体" w:hAnsi="宋体"/>
                <w:sz w:val="18"/>
                <w:szCs w:val="18"/>
              </w:rPr>
            </w:pPr>
            <w:r>
              <w:rPr>
                <w:rFonts w:hint="eastAsia" w:ascii="宋体" w:hAnsi="宋体"/>
                <w:sz w:val="18"/>
                <w:szCs w:val="18"/>
              </w:rPr>
              <w:t>4</w:t>
            </w:r>
          </w:p>
        </w:tc>
        <w:tc>
          <w:tcPr>
            <w:tcW w:w="356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sz w:val="18"/>
                <w:szCs w:val="18"/>
              </w:rPr>
              <w:t>工作温度下的泄漏电流和电气强度</w:t>
            </w:r>
          </w:p>
        </w:tc>
        <w:tc>
          <w:tcPr>
            <w:tcW w:w="2417"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eastAsia="宋体" w:cs="Times New Roman"/>
                <w:kern w:val="2"/>
                <w:sz w:val="18"/>
                <w:szCs w:val="18"/>
                <w:lang w:val="en-US" w:eastAsia="zh-CN" w:bidi="ar-SA"/>
              </w:rPr>
            </w:pPr>
            <w:r>
              <w:rPr>
                <w:rFonts w:ascii="宋体" w:hAnsi="宋体"/>
                <w:sz w:val="18"/>
                <w:szCs w:val="18"/>
              </w:rPr>
              <w:t xml:space="preserve">GB 4706.19-2008 </w:t>
            </w:r>
          </w:p>
        </w:tc>
        <w:tc>
          <w:tcPr>
            <w:tcW w:w="2225"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sz w:val="18"/>
                <w:szCs w:val="18"/>
              </w:rPr>
            </w:pPr>
            <w:r>
              <w:rPr>
                <w:rFonts w:ascii="宋体" w:hAnsi="宋体"/>
                <w:sz w:val="18"/>
                <w:szCs w:val="18"/>
              </w:rPr>
              <w:t xml:space="preserve">GB 4706.19-2008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right"/>
        </w:trPr>
        <w:tc>
          <w:tcPr>
            <w:tcW w:w="722" w:type="dxa"/>
            <w:tcBorders>
              <w:top w:val="single" w:color="000000" w:sz="4" w:space="0"/>
              <w:left w:val="single" w:color="000000" w:sz="4" w:space="0"/>
              <w:bottom w:val="single" w:color="000000" w:sz="4" w:space="0"/>
              <w:right w:val="single" w:color="000000" w:sz="4" w:space="0"/>
            </w:tcBorders>
            <w:vAlign w:val="center"/>
          </w:tcPr>
          <w:p>
            <w:pPr>
              <w:spacing w:before="80" w:after="40"/>
              <w:jc w:val="center"/>
              <w:rPr>
                <w:rFonts w:ascii="宋体" w:hAnsi="宋体"/>
                <w:sz w:val="18"/>
                <w:szCs w:val="18"/>
              </w:rPr>
            </w:pPr>
            <w:r>
              <w:rPr>
                <w:rFonts w:ascii="宋体" w:hAnsi="宋体"/>
                <w:sz w:val="18"/>
                <w:szCs w:val="18"/>
              </w:rPr>
              <w:t>5</w:t>
            </w:r>
          </w:p>
        </w:tc>
        <w:tc>
          <w:tcPr>
            <w:tcW w:w="356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kern w:val="2"/>
                <w:sz w:val="18"/>
                <w:szCs w:val="18"/>
                <w:lang w:val="en-US" w:eastAsia="zh-CN" w:bidi="ar-SA"/>
              </w:rPr>
            </w:pPr>
            <w:r>
              <w:rPr>
                <w:rFonts w:hint="eastAsia" w:ascii="宋体" w:hAnsi="宋体"/>
                <w:sz w:val="18"/>
                <w:szCs w:val="18"/>
              </w:rPr>
              <w:t>电源连接和外部软线</w:t>
            </w:r>
          </w:p>
        </w:tc>
        <w:tc>
          <w:tcPr>
            <w:tcW w:w="2417"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eastAsia="宋体" w:cs="Times New Roman"/>
                <w:kern w:val="2"/>
                <w:sz w:val="18"/>
                <w:szCs w:val="18"/>
                <w:lang w:val="en-US" w:eastAsia="zh-CN" w:bidi="ar-SA"/>
              </w:rPr>
            </w:pPr>
            <w:r>
              <w:rPr>
                <w:rFonts w:ascii="宋体" w:hAnsi="宋体"/>
                <w:sz w:val="18"/>
                <w:szCs w:val="18"/>
              </w:rPr>
              <w:t xml:space="preserve">GB 4706.19-2008 </w:t>
            </w:r>
          </w:p>
        </w:tc>
        <w:tc>
          <w:tcPr>
            <w:tcW w:w="2225"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sz w:val="18"/>
                <w:szCs w:val="18"/>
              </w:rPr>
            </w:pPr>
            <w:r>
              <w:rPr>
                <w:rFonts w:ascii="宋体" w:hAnsi="宋体"/>
                <w:sz w:val="18"/>
                <w:szCs w:val="18"/>
              </w:rPr>
              <w:t xml:space="preserve">GB 4706.19-2008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right"/>
        </w:trPr>
        <w:tc>
          <w:tcPr>
            <w:tcW w:w="722" w:type="dxa"/>
            <w:tcBorders>
              <w:top w:val="single" w:color="000000" w:sz="4" w:space="0"/>
              <w:left w:val="single" w:color="000000" w:sz="4" w:space="0"/>
              <w:bottom w:val="single" w:color="000000" w:sz="4" w:space="0"/>
              <w:right w:val="single" w:color="000000" w:sz="4" w:space="0"/>
            </w:tcBorders>
            <w:vAlign w:val="center"/>
          </w:tcPr>
          <w:p>
            <w:pPr>
              <w:spacing w:before="80" w:after="40"/>
              <w:jc w:val="center"/>
              <w:rPr>
                <w:rFonts w:ascii="宋体" w:hAnsi="宋体"/>
                <w:sz w:val="18"/>
                <w:szCs w:val="18"/>
              </w:rPr>
            </w:pPr>
            <w:r>
              <w:rPr>
                <w:rFonts w:ascii="宋体" w:hAnsi="宋体"/>
                <w:sz w:val="18"/>
                <w:szCs w:val="18"/>
              </w:rPr>
              <w:t>6</w:t>
            </w:r>
          </w:p>
        </w:tc>
        <w:tc>
          <w:tcPr>
            <w:tcW w:w="356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Times New Roman"/>
                <w:kern w:val="2"/>
                <w:sz w:val="18"/>
                <w:szCs w:val="18"/>
                <w:lang w:val="en-US" w:eastAsia="zh-CN" w:bidi="ar-SA"/>
              </w:rPr>
            </w:pPr>
            <w:r>
              <w:rPr>
                <w:rFonts w:hint="eastAsia" w:ascii="宋体" w:hAnsi="宋体"/>
                <w:sz w:val="18"/>
                <w:szCs w:val="18"/>
              </w:rPr>
              <w:t>接地措施（除27.4条）</w:t>
            </w:r>
          </w:p>
        </w:tc>
        <w:tc>
          <w:tcPr>
            <w:tcW w:w="2417"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eastAsia="宋体" w:cs="Times New Roman"/>
                <w:kern w:val="2"/>
                <w:sz w:val="18"/>
                <w:szCs w:val="18"/>
                <w:lang w:val="en-US" w:eastAsia="zh-CN" w:bidi="ar-SA"/>
              </w:rPr>
            </w:pPr>
            <w:r>
              <w:rPr>
                <w:rFonts w:ascii="宋体" w:hAnsi="宋体"/>
                <w:sz w:val="18"/>
                <w:szCs w:val="18"/>
              </w:rPr>
              <w:t xml:space="preserve">GB 4706.19-2008 </w:t>
            </w:r>
          </w:p>
        </w:tc>
        <w:tc>
          <w:tcPr>
            <w:tcW w:w="2225" w:type="dxa"/>
            <w:tcBorders>
              <w:top w:val="single" w:color="000000" w:sz="4" w:space="0"/>
              <w:left w:val="single" w:color="000000" w:sz="4" w:space="0"/>
              <w:bottom w:val="single" w:color="000000" w:sz="4" w:space="0"/>
              <w:right w:val="single" w:color="auto" w:sz="4" w:space="0"/>
            </w:tcBorders>
            <w:vAlign w:val="center"/>
          </w:tcPr>
          <w:p>
            <w:pPr>
              <w:spacing w:line="26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pPr>
              <w:spacing w:line="260" w:lineRule="exact"/>
              <w:jc w:val="center"/>
              <w:rPr>
                <w:rFonts w:ascii="宋体" w:hAnsi="宋体"/>
                <w:sz w:val="18"/>
                <w:szCs w:val="18"/>
              </w:rPr>
            </w:pPr>
            <w:r>
              <w:rPr>
                <w:rFonts w:ascii="宋体" w:hAnsi="宋体"/>
                <w:sz w:val="18"/>
                <w:szCs w:val="18"/>
              </w:rPr>
              <w:t xml:space="preserve">GB 4706.19-2008 </w:t>
            </w:r>
          </w:p>
        </w:tc>
      </w:tr>
    </w:tbl>
    <w:p>
      <w:pPr>
        <w:snapToGrid w:val="0"/>
        <w:spacing w:before="156" w:beforeLines="50" w:line="360" w:lineRule="auto"/>
        <w:ind w:firstLine="420" w:firstLineChars="200"/>
        <w:rPr>
          <w:color w:val="000000"/>
          <w:szCs w:val="21"/>
        </w:rPr>
      </w:pPr>
      <w:r>
        <w:rPr>
          <w:rFonts w:hint="eastAsia"/>
          <w:color w:val="000000"/>
          <w:szCs w:val="21"/>
        </w:rPr>
        <w:t>执行企业标准、团体标准、地方标准的产品，检验项目参照上述内容执行。</w:t>
      </w:r>
    </w:p>
    <w:p>
      <w:pPr>
        <w:snapToGrid w:val="0"/>
        <w:spacing w:line="360" w:lineRule="auto"/>
        <w:ind w:firstLine="420" w:firstLineChars="200"/>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adjustRightInd w:val="0"/>
        <w:snapToGrid w:val="0"/>
        <w:spacing w:before="312" w:beforeLines="100" w:line="360" w:lineRule="auto"/>
        <w:rPr>
          <w:rFonts w:ascii="黑体" w:hAnsi="黑体" w:eastAsia="黑体"/>
          <w:b/>
          <w:szCs w:val="21"/>
        </w:rPr>
      </w:pPr>
      <w:r>
        <w:rPr>
          <w:rFonts w:hint="eastAsia" w:ascii="黑体" w:hAnsi="黑体" w:eastAsia="黑体"/>
          <w:b/>
          <w:szCs w:val="21"/>
        </w:rPr>
        <w:t>3 判定规则</w:t>
      </w:r>
    </w:p>
    <w:p>
      <w:pPr>
        <w:snapToGrid w:val="0"/>
        <w:spacing w:line="360" w:lineRule="auto"/>
        <w:rPr>
          <w:rFonts w:ascii="宋体" w:hAnsi="宋体"/>
          <w:b/>
          <w:szCs w:val="21"/>
        </w:rPr>
      </w:pPr>
      <w:r>
        <w:rPr>
          <w:rFonts w:hint="eastAsia" w:ascii="宋体" w:hAnsi="宋体"/>
          <w:b/>
          <w:szCs w:val="21"/>
        </w:rPr>
        <w:t>3.1依据标准</w:t>
      </w:r>
    </w:p>
    <w:p>
      <w:pPr>
        <w:snapToGrid w:val="0"/>
        <w:spacing w:line="360" w:lineRule="auto"/>
        <w:ind w:firstLine="420" w:firstLineChars="200"/>
        <w:rPr>
          <w:rFonts w:hint="eastAsia" w:ascii="宋体" w:hAnsi="宋体"/>
          <w:szCs w:val="21"/>
        </w:rPr>
      </w:pPr>
      <w:r>
        <w:rPr>
          <w:rFonts w:hint="eastAsia" w:ascii="宋体" w:hAnsi="宋体"/>
          <w:szCs w:val="21"/>
        </w:rPr>
        <w:t>GB 4706.1-2005《家用和类似用途电器的安全 第1部分：通用要求》</w:t>
      </w:r>
    </w:p>
    <w:p>
      <w:pPr>
        <w:snapToGrid w:val="0"/>
        <w:spacing w:line="360" w:lineRule="auto"/>
        <w:ind w:firstLine="420" w:firstLineChars="200"/>
        <w:rPr>
          <w:rFonts w:hint="eastAsia" w:ascii="宋体" w:hAnsi="宋体"/>
          <w:szCs w:val="21"/>
        </w:rPr>
      </w:pPr>
      <w:r>
        <w:rPr>
          <w:rFonts w:hint="eastAsia" w:ascii="宋体" w:hAnsi="宋体"/>
          <w:szCs w:val="21"/>
        </w:rPr>
        <w:t>GB 4706.19-2008《家用和类似用途电器的安全 液体加热器的特殊要求》</w:t>
      </w:r>
    </w:p>
    <w:p>
      <w:pPr>
        <w:snapToGrid w:val="0"/>
        <w:spacing w:line="360" w:lineRule="auto"/>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pPr>
        <w:snapToGrid w:val="0"/>
        <w:spacing w:line="360" w:lineRule="auto"/>
        <w:rPr>
          <w:rFonts w:ascii="宋体" w:hAnsi="宋体"/>
          <w:b/>
          <w:szCs w:val="21"/>
        </w:rPr>
      </w:pPr>
      <w:r>
        <w:rPr>
          <w:rFonts w:hint="eastAsia" w:ascii="宋体" w:hAnsi="宋体"/>
          <w:b/>
          <w:szCs w:val="21"/>
        </w:rPr>
        <w:t>3.2判定原则</w:t>
      </w:r>
    </w:p>
    <w:p>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s="方正仿宋简体"/>
          <w:szCs w:val="21"/>
        </w:rPr>
      </w:pPr>
      <w:r>
        <w:rPr>
          <w:rFonts w:ascii="Times New Roman" w:hAnsi="Times New Roman"/>
          <w:color w:val="000000"/>
          <w:szCs w:val="21"/>
        </w:rPr>
        <w:t>若被检产品明示的质量要求缺少本细则中检验项目依据的推荐性标准要求时，该项目不参与判定。</w:t>
      </w:r>
    </w:p>
    <w:p>
      <w:pPr>
        <w:snapToGrid w:val="0"/>
        <w:spacing w:line="440" w:lineRule="exact"/>
        <w:rPr>
          <w:rFonts w:hint="eastAsia" w:ascii="宋体" w:hAnsi="宋体"/>
          <w:color w:val="000000"/>
          <w:szCs w:val="21"/>
          <w:u w:val="single"/>
        </w:rPr>
      </w:pPr>
      <w:r>
        <w:rPr>
          <w:rFonts w:hint="eastAsia"/>
          <w:lang w:val="en-US" w:eastAsia="zh-CN"/>
        </w:rPr>
        <w:t xml:space="preserve">            </w:t>
      </w:r>
      <w:r>
        <w:rPr>
          <w:rFonts w:ascii="宋体" w:hAnsi="宋体"/>
          <w:color w:val="000000"/>
          <w:szCs w:val="21"/>
          <w:u w:val="single"/>
        </w:rPr>
        <w:t xml:space="preserve">                                              </w:t>
      </w:r>
    </w:p>
    <w:p>
      <w:pPr>
        <w:adjustRightInd w:val="0"/>
        <w:snapToGrid w:val="0"/>
        <w:spacing w:line="360" w:lineRule="auto"/>
        <w:rPr>
          <w:rFonts w:hint="eastAsia" w:ascii="宋体" w:hAnsi="宋体"/>
          <w:szCs w:val="21"/>
        </w:rPr>
      </w:pPr>
    </w:p>
    <w:sectPr>
      <w:headerReference r:id="rId3" w:type="default"/>
      <w:footerReference r:id="rId4" w:type="default"/>
      <w:footerReference r:id="rId5" w:type="even"/>
      <w:pgSz w:w="11906" w:h="16838"/>
      <w:pgMar w:top="1985" w:right="1361" w:bottom="1361" w:left="158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20FD65E9-42B9-4CC3-85A9-C50016C090B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22D30BAF-CDA9-486A-B61C-C47A41F4EEA7}"/>
  </w:font>
  <w:font w:name="方正小标宋简体">
    <w:panose1 w:val="03000509000000000000"/>
    <w:charset w:val="86"/>
    <w:family w:val="script"/>
    <w:pitch w:val="default"/>
    <w:sig w:usb0="00000001" w:usb1="080E0000" w:usb2="00000000" w:usb3="00000000" w:csb0="00040000" w:csb1="00000000"/>
    <w:embedRegular r:id="rId3" w:fontKey="{31A9393D-7D45-4983-8A8F-5817AB62ECAC}"/>
  </w:font>
  <w:font w:name="仿宋">
    <w:panose1 w:val="02010609060101010101"/>
    <w:charset w:val="86"/>
    <w:family w:val="modern"/>
    <w:pitch w:val="default"/>
    <w:sig w:usb0="800002BF" w:usb1="38CF7CFA" w:usb2="00000016" w:usb3="00000000" w:csb0="00040001" w:csb1="00000000"/>
    <w:embedRegular r:id="rId4" w:fontKey="{21831270-8916-40A4-B0C4-40254FB81901}"/>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2ODdmODU4MTNjMTc0MjA5ZWQ3MjEyMGM0NzkxNDkifQ=="/>
  </w:docVars>
  <w:rsids>
    <w:rsidRoot w:val="00172A27"/>
    <w:rsid w:val="000003C7"/>
    <w:rsid w:val="00000B18"/>
    <w:rsid w:val="00015A12"/>
    <w:rsid w:val="000276A9"/>
    <w:rsid w:val="00032E0F"/>
    <w:rsid w:val="000341AF"/>
    <w:rsid w:val="00035064"/>
    <w:rsid w:val="00051A44"/>
    <w:rsid w:val="00071001"/>
    <w:rsid w:val="00081CBD"/>
    <w:rsid w:val="00087857"/>
    <w:rsid w:val="000976DE"/>
    <w:rsid w:val="000A1656"/>
    <w:rsid w:val="000B5D21"/>
    <w:rsid w:val="000C613E"/>
    <w:rsid w:val="000D0007"/>
    <w:rsid w:val="000F64F9"/>
    <w:rsid w:val="000F6E44"/>
    <w:rsid w:val="001035C2"/>
    <w:rsid w:val="001061C6"/>
    <w:rsid w:val="00134831"/>
    <w:rsid w:val="001518B6"/>
    <w:rsid w:val="001715A9"/>
    <w:rsid w:val="00172A27"/>
    <w:rsid w:val="00175489"/>
    <w:rsid w:val="001754B1"/>
    <w:rsid w:val="001757D7"/>
    <w:rsid w:val="001809DD"/>
    <w:rsid w:val="001A4BA7"/>
    <w:rsid w:val="001A78A8"/>
    <w:rsid w:val="001B77ED"/>
    <w:rsid w:val="001C0253"/>
    <w:rsid w:val="001C0B5F"/>
    <w:rsid w:val="001C4F34"/>
    <w:rsid w:val="001D1FBC"/>
    <w:rsid w:val="001D6824"/>
    <w:rsid w:val="001E4729"/>
    <w:rsid w:val="001F7180"/>
    <w:rsid w:val="00210539"/>
    <w:rsid w:val="0021196E"/>
    <w:rsid w:val="00220D45"/>
    <w:rsid w:val="002211A8"/>
    <w:rsid w:val="00223317"/>
    <w:rsid w:val="0022473B"/>
    <w:rsid w:val="00226724"/>
    <w:rsid w:val="00253624"/>
    <w:rsid w:val="002725B3"/>
    <w:rsid w:val="002749D1"/>
    <w:rsid w:val="00274E3E"/>
    <w:rsid w:val="002825C2"/>
    <w:rsid w:val="00293B52"/>
    <w:rsid w:val="002A069A"/>
    <w:rsid w:val="002A7D1C"/>
    <w:rsid w:val="002B3154"/>
    <w:rsid w:val="002B50E7"/>
    <w:rsid w:val="002D2068"/>
    <w:rsid w:val="002D7F8A"/>
    <w:rsid w:val="002E0D1D"/>
    <w:rsid w:val="002E1EAC"/>
    <w:rsid w:val="002E68A8"/>
    <w:rsid w:val="002E772A"/>
    <w:rsid w:val="002E7B01"/>
    <w:rsid w:val="002F49EA"/>
    <w:rsid w:val="00306A87"/>
    <w:rsid w:val="00314D52"/>
    <w:rsid w:val="00314E0D"/>
    <w:rsid w:val="0031786C"/>
    <w:rsid w:val="003203A3"/>
    <w:rsid w:val="003211DD"/>
    <w:rsid w:val="00371567"/>
    <w:rsid w:val="00375E4A"/>
    <w:rsid w:val="003908BA"/>
    <w:rsid w:val="0039208F"/>
    <w:rsid w:val="003B226D"/>
    <w:rsid w:val="003C3085"/>
    <w:rsid w:val="003C388C"/>
    <w:rsid w:val="003C4CFD"/>
    <w:rsid w:val="003D0118"/>
    <w:rsid w:val="003D165C"/>
    <w:rsid w:val="003E4890"/>
    <w:rsid w:val="003E61BF"/>
    <w:rsid w:val="003F1695"/>
    <w:rsid w:val="003F7815"/>
    <w:rsid w:val="00427534"/>
    <w:rsid w:val="00427D8E"/>
    <w:rsid w:val="004315D3"/>
    <w:rsid w:val="00431B92"/>
    <w:rsid w:val="004407A6"/>
    <w:rsid w:val="00441CD2"/>
    <w:rsid w:val="00442A9A"/>
    <w:rsid w:val="00445E86"/>
    <w:rsid w:val="00457A50"/>
    <w:rsid w:val="00474E04"/>
    <w:rsid w:val="0047614B"/>
    <w:rsid w:val="004820E0"/>
    <w:rsid w:val="00490A9C"/>
    <w:rsid w:val="004A4057"/>
    <w:rsid w:val="004C7F27"/>
    <w:rsid w:val="004D0C5A"/>
    <w:rsid w:val="004D0E11"/>
    <w:rsid w:val="004D25D5"/>
    <w:rsid w:val="004D4B2E"/>
    <w:rsid w:val="004E1396"/>
    <w:rsid w:val="004F4DF1"/>
    <w:rsid w:val="00515553"/>
    <w:rsid w:val="00523863"/>
    <w:rsid w:val="0053767C"/>
    <w:rsid w:val="00560BA9"/>
    <w:rsid w:val="00563EBC"/>
    <w:rsid w:val="005A3E5F"/>
    <w:rsid w:val="005D7833"/>
    <w:rsid w:val="006003B9"/>
    <w:rsid w:val="00620876"/>
    <w:rsid w:val="006222C8"/>
    <w:rsid w:val="006241C7"/>
    <w:rsid w:val="00643C90"/>
    <w:rsid w:val="00650FA2"/>
    <w:rsid w:val="006617E9"/>
    <w:rsid w:val="006661AC"/>
    <w:rsid w:val="00672B6A"/>
    <w:rsid w:val="00677567"/>
    <w:rsid w:val="00684106"/>
    <w:rsid w:val="006B1436"/>
    <w:rsid w:val="006B3511"/>
    <w:rsid w:val="006B5E89"/>
    <w:rsid w:val="006B7ACD"/>
    <w:rsid w:val="006D58B0"/>
    <w:rsid w:val="006F0971"/>
    <w:rsid w:val="007035AB"/>
    <w:rsid w:val="007064E0"/>
    <w:rsid w:val="007076A7"/>
    <w:rsid w:val="00711039"/>
    <w:rsid w:val="00720D95"/>
    <w:rsid w:val="0072334C"/>
    <w:rsid w:val="0074174D"/>
    <w:rsid w:val="00756A15"/>
    <w:rsid w:val="007626BB"/>
    <w:rsid w:val="00764B44"/>
    <w:rsid w:val="00775B99"/>
    <w:rsid w:val="007B0569"/>
    <w:rsid w:val="007B3BBD"/>
    <w:rsid w:val="007D4454"/>
    <w:rsid w:val="007D5622"/>
    <w:rsid w:val="007F26B4"/>
    <w:rsid w:val="00803110"/>
    <w:rsid w:val="0080654F"/>
    <w:rsid w:val="00807D64"/>
    <w:rsid w:val="008121A2"/>
    <w:rsid w:val="0081453E"/>
    <w:rsid w:val="00832480"/>
    <w:rsid w:val="0083350B"/>
    <w:rsid w:val="00833A7C"/>
    <w:rsid w:val="00835F10"/>
    <w:rsid w:val="00840977"/>
    <w:rsid w:val="0084366D"/>
    <w:rsid w:val="00854F6E"/>
    <w:rsid w:val="00895BEA"/>
    <w:rsid w:val="008A0055"/>
    <w:rsid w:val="008A0FF4"/>
    <w:rsid w:val="008A3497"/>
    <w:rsid w:val="008A55AE"/>
    <w:rsid w:val="008A5AF6"/>
    <w:rsid w:val="008A5D98"/>
    <w:rsid w:val="008B158C"/>
    <w:rsid w:val="008B69C6"/>
    <w:rsid w:val="008B6AA6"/>
    <w:rsid w:val="008B7AB8"/>
    <w:rsid w:val="008C7121"/>
    <w:rsid w:val="008F2CA7"/>
    <w:rsid w:val="008F7267"/>
    <w:rsid w:val="0090401C"/>
    <w:rsid w:val="009044C8"/>
    <w:rsid w:val="00905558"/>
    <w:rsid w:val="009055F7"/>
    <w:rsid w:val="00916DA0"/>
    <w:rsid w:val="00917A54"/>
    <w:rsid w:val="009339AE"/>
    <w:rsid w:val="009439DD"/>
    <w:rsid w:val="0094409B"/>
    <w:rsid w:val="009443F6"/>
    <w:rsid w:val="009464F9"/>
    <w:rsid w:val="009659A3"/>
    <w:rsid w:val="009667AA"/>
    <w:rsid w:val="00972E10"/>
    <w:rsid w:val="00973B12"/>
    <w:rsid w:val="0097718A"/>
    <w:rsid w:val="009A1D61"/>
    <w:rsid w:val="009A3D32"/>
    <w:rsid w:val="009B2BEE"/>
    <w:rsid w:val="009D29B0"/>
    <w:rsid w:val="009D7B49"/>
    <w:rsid w:val="009E3857"/>
    <w:rsid w:val="009E73FD"/>
    <w:rsid w:val="009F6B32"/>
    <w:rsid w:val="009F79F4"/>
    <w:rsid w:val="00A034F4"/>
    <w:rsid w:val="00A25095"/>
    <w:rsid w:val="00A40FEF"/>
    <w:rsid w:val="00A43553"/>
    <w:rsid w:val="00A50A1C"/>
    <w:rsid w:val="00A61567"/>
    <w:rsid w:val="00A62B41"/>
    <w:rsid w:val="00A82410"/>
    <w:rsid w:val="00A8284B"/>
    <w:rsid w:val="00A8778B"/>
    <w:rsid w:val="00A95167"/>
    <w:rsid w:val="00AA2B3B"/>
    <w:rsid w:val="00AA2BE0"/>
    <w:rsid w:val="00AB1B60"/>
    <w:rsid w:val="00AB47A2"/>
    <w:rsid w:val="00AB5A76"/>
    <w:rsid w:val="00AC2C98"/>
    <w:rsid w:val="00AC63A0"/>
    <w:rsid w:val="00AD1654"/>
    <w:rsid w:val="00AD5446"/>
    <w:rsid w:val="00AF06AE"/>
    <w:rsid w:val="00B052CD"/>
    <w:rsid w:val="00B06575"/>
    <w:rsid w:val="00B11A9D"/>
    <w:rsid w:val="00B31285"/>
    <w:rsid w:val="00B34EAF"/>
    <w:rsid w:val="00B435B0"/>
    <w:rsid w:val="00B53911"/>
    <w:rsid w:val="00B6027C"/>
    <w:rsid w:val="00B60FC4"/>
    <w:rsid w:val="00B65001"/>
    <w:rsid w:val="00B66C1C"/>
    <w:rsid w:val="00B67859"/>
    <w:rsid w:val="00B92E02"/>
    <w:rsid w:val="00B92EA8"/>
    <w:rsid w:val="00BA29DB"/>
    <w:rsid w:val="00BA39E8"/>
    <w:rsid w:val="00BA444C"/>
    <w:rsid w:val="00BA7CBE"/>
    <w:rsid w:val="00BB2E33"/>
    <w:rsid w:val="00BB4F8B"/>
    <w:rsid w:val="00BC0F3D"/>
    <w:rsid w:val="00BC2570"/>
    <w:rsid w:val="00BD5E15"/>
    <w:rsid w:val="00BE601A"/>
    <w:rsid w:val="00BF04E2"/>
    <w:rsid w:val="00BF2499"/>
    <w:rsid w:val="00C04BB6"/>
    <w:rsid w:val="00C11645"/>
    <w:rsid w:val="00C14067"/>
    <w:rsid w:val="00C235A7"/>
    <w:rsid w:val="00C26074"/>
    <w:rsid w:val="00C32153"/>
    <w:rsid w:val="00C353D5"/>
    <w:rsid w:val="00C50105"/>
    <w:rsid w:val="00C5014D"/>
    <w:rsid w:val="00C54630"/>
    <w:rsid w:val="00C54BC5"/>
    <w:rsid w:val="00C54FB2"/>
    <w:rsid w:val="00C83B0A"/>
    <w:rsid w:val="00C94824"/>
    <w:rsid w:val="00C9718B"/>
    <w:rsid w:val="00CB27CE"/>
    <w:rsid w:val="00CB4CFB"/>
    <w:rsid w:val="00CB5DFE"/>
    <w:rsid w:val="00CC3F7B"/>
    <w:rsid w:val="00CD5014"/>
    <w:rsid w:val="00CE1E0C"/>
    <w:rsid w:val="00CE277E"/>
    <w:rsid w:val="00CE387D"/>
    <w:rsid w:val="00CE5230"/>
    <w:rsid w:val="00D14906"/>
    <w:rsid w:val="00D15D3E"/>
    <w:rsid w:val="00D31AD0"/>
    <w:rsid w:val="00D32D7C"/>
    <w:rsid w:val="00D45E0D"/>
    <w:rsid w:val="00D557D2"/>
    <w:rsid w:val="00D56867"/>
    <w:rsid w:val="00D67FB9"/>
    <w:rsid w:val="00D727AC"/>
    <w:rsid w:val="00D9366F"/>
    <w:rsid w:val="00DA08DE"/>
    <w:rsid w:val="00DB6E0E"/>
    <w:rsid w:val="00DC19FC"/>
    <w:rsid w:val="00DC570B"/>
    <w:rsid w:val="00DD4B0F"/>
    <w:rsid w:val="00DE187C"/>
    <w:rsid w:val="00DE27A9"/>
    <w:rsid w:val="00DE5A74"/>
    <w:rsid w:val="00DF135C"/>
    <w:rsid w:val="00E02A7F"/>
    <w:rsid w:val="00E07880"/>
    <w:rsid w:val="00E20E35"/>
    <w:rsid w:val="00E34A99"/>
    <w:rsid w:val="00E44A9F"/>
    <w:rsid w:val="00E47801"/>
    <w:rsid w:val="00E72F85"/>
    <w:rsid w:val="00E753E6"/>
    <w:rsid w:val="00E82621"/>
    <w:rsid w:val="00E82AA9"/>
    <w:rsid w:val="00E85E2F"/>
    <w:rsid w:val="00E8703C"/>
    <w:rsid w:val="00E8743E"/>
    <w:rsid w:val="00EA577E"/>
    <w:rsid w:val="00EB2A98"/>
    <w:rsid w:val="00EE2F85"/>
    <w:rsid w:val="00EF086A"/>
    <w:rsid w:val="00EF6524"/>
    <w:rsid w:val="00F01BEC"/>
    <w:rsid w:val="00F030E4"/>
    <w:rsid w:val="00F209C5"/>
    <w:rsid w:val="00F34791"/>
    <w:rsid w:val="00F370D1"/>
    <w:rsid w:val="00F41F1B"/>
    <w:rsid w:val="00F51B27"/>
    <w:rsid w:val="00F5233C"/>
    <w:rsid w:val="00F721D8"/>
    <w:rsid w:val="00F77C9A"/>
    <w:rsid w:val="00F8284C"/>
    <w:rsid w:val="00F85D18"/>
    <w:rsid w:val="00F9402A"/>
    <w:rsid w:val="00FA64F9"/>
    <w:rsid w:val="00FB2570"/>
    <w:rsid w:val="00FB576C"/>
    <w:rsid w:val="00FD2AA6"/>
    <w:rsid w:val="00FE060F"/>
    <w:rsid w:val="00FE2EBB"/>
    <w:rsid w:val="00FE7E8A"/>
    <w:rsid w:val="00FF477D"/>
    <w:rsid w:val="012869A8"/>
    <w:rsid w:val="01D26C69"/>
    <w:rsid w:val="03845237"/>
    <w:rsid w:val="0F4A7D3F"/>
    <w:rsid w:val="12856151"/>
    <w:rsid w:val="19A2504A"/>
    <w:rsid w:val="19BE3706"/>
    <w:rsid w:val="1AD97324"/>
    <w:rsid w:val="1B310649"/>
    <w:rsid w:val="1BA004BA"/>
    <w:rsid w:val="1BAC7F86"/>
    <w:rsid w:val="1EDA7B0B"/>
    <w:rsid w:val="21271E30"/>
    <w:rsid w:val="22A70FE7"/>
    <w:rsid w:val="232D19AA"/>
    <w:rsid w:val="25901ED5"/>
    <w:rsid w:val="27EE2B60"/>
    <w:rsid w:val="2A520044"/>
    <w:rsid w:val="2A864303"/>
    <w:rsid w:val="2B746741"/>
    <w:rsid w:val="2E255C4A"/>
    <w:rsid w:val="308675AA"/>
    <w:rsid w:val="3BA713EC"/>
    <w:rsid w:val="3C022A85"/>
    <w:rsid w:val="3E6E32C4"/>
    <w:rsid w:val="4BEC1766"/>
    <w:rsid w:val="4C224BFA"/>
    <w:rsid w:val="4D655F23"/>
    <w:rsid w:val="4E980911"/>
    <w:rsid w:val="4F891FE9"/>
    <w:rsid w:val="50052A51"/>
    <w:rsid w:val="52133DDD"/>
    <w:rsid w:val="569331F6"/>
    <w:rsid w:val="56A3467A"/>
    <w:rsid w:val="59227EB6"/>
    <w:rsid w:val="5A522FD2"/>
    <w:rsid w:val="5B3865DB"/>
    <w:rsid w:val="5C9D1FE9"/>
    <w:rsid w:val="60387B56"/>
    <w:rsid w:val="62A10094"/>
    <w:rsid w:val="631F1BE0"/>
    <w:rsid w:val="6A1C6093"/>
    <w:rsid w:val="71573B9F"/>
    <w:rsid w:val="755271FF"/>
    <w:rsid w:val="7C81590E"/>
    <w:rsid w:val="7E89659A"/>
    <w:rsid w:val="7F9E1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rPr>
      <w:lang w:val="zh-CN" w:eastAsia="zh-CN"/>
    </w:rPr>
  </w:style>
  <w:style w:type="paragraph" w:styleId="3">
    <w:name w:val="Date"/>
    <w:basedOn w:val="1"/>
    <w:next w:val="1"/>
    <w:link w:val="19"/>
    <w:unhideWhenUsed/>
    <w:qFormat/>
    <w:uiPriority w:val="99"/>
    <w:pPr>
      <w:ind w:left="100" w:leftChars="2500"/>
    </w:pPr>
    <w:rPr>
      <w:lang w:val="zh-CN" w:eastAsia="zh-CN"/>
    </w:rPr>
  </w:style>
  <w:style w:type="paragraph" w:styleId="4">
    <w:name w:val="Balloon Text"/>
    <w:basedOn w:val="1"/>
    <w:link w:val="16"/>
    <w:unhideWhenUsed/>
    <w:qFormat/>
    <w:uiPriority w:val="99"/>
    <w:rPr>
      <w:sz w:val="18"/>
      <w:szCs w:val="18"/>
      <w:lang w:val="zh-CN" w:eastAsia="zh-CN"/>
    </w:rPr>
  </w:style>
  <w:style w:type="paragraph" w:styleId="5">
    <w:name w:val="footer"/>
    <w:basedOn w:val="1"/>
    <w:link w:val="17"/>
    <w:unhideWhenUsed/>
    <w:qFormat/>
    <w:uiPriority w:val="99"/>
    <w:pPr>
      <w:tabs>
        <w:tab w:val="center" w:pos="4153"/>
        <w:tab w:val="right" w:pos="8306"/>
      </w:tabs>
      <w:snapToGrid w:val="0"/>
      <w:jc w:val="left"/>
    </w:pPr>
    <w:rPr>
      <w:sz w:val="18"/>
      <w:szCs w:val="18"/>
      <w:lang w:val="zh-CN" w:eastAsia="zh-CN"/>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7">
    <w:name w:val="annotation subject"/>
    <w:basedOn w:val="2"/>
    <w:next w:val="2"/>
    <w:link w:val="14"/>
    <w:unhideWhenUsed/>
    <w:qFormat/>
    <w:uiPriority w:val="99"/>
    <w:rPr>
      <w:b/>
      <w:bCs/>
      <w:lang w:val="en-US" w:eastAsia="zh-CN"/>
    </w:rPr>
  </w:style>
  <w:style w:type="table" w:styleId="9">
    <w:name w:val="Table Grid"/>
    <w:basedOn w:val="8"/>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basedOn w:val="10"/>
    <w:qFormat/>
    <w:uiPriority w:val="0"/>
  </w:style>
  <w:style w:type="character" w:styleId="12">
    <w:name w:val="annotation reference"/>
    <w:unhideWhenUsed/>
    <w:qFormat/>
    <w:uiPriority w:val="99"/>
    <w:rPr>
      <w:sz w:val="21"/>
      <w:szCs w:val="21"/>
    </w:rPr>
  </w:style>
  <w:style w:type="character" w:customStyle="1" w:styleId="13">
    <w:name w:val="页眉 字符"/>
    <w:link w:val="6"/>
    <w:semiHidden/>
    <w:qFormat/>
    <w:uiPriority w:val="99"/>
    <w:rPr>
      <w:kern w:val="2"/>
      <w:sz w:val="18"/>
      <w:szCs w:val="18"/>
    </w:rPr>
  </w:style>
  <w:style w:type="character" w:customStyle="1" w:styleId="14">
    <w:name w:val="批注主题 字符"/>
    <w:basedOn w:val="15"/>
    <w:link w:val="7"/>
    <w:semiHidden/>
    <w:qFormat/>
    <w:uiPriority w:val="99"/>
    <w:rPr>
      <w:b/>
      <w:bCs/>
      <w:kern w:val="2"/>
      <w:sz w:val="21"/>
      <w:szCs w:val="24"/>
    </w:rPr>
  </w:style>
  <w:style w:type="character" w:customStyle="1" w:styleId="15">
    <w:name w:val="批注文字 字符"/>
    <w:link w:val="2"/>
    <w:semiHidden/>
    <w:qFormat/>
    <w:uiPriority w:val="99"/>
    <w:rPr>
      <w:kern w:val="2"/>
      <w:sz w:val="21"/>
      <w:szCs w:val="24"/>
    </w:rPr>
  </w:style>
  <w:style w:type="character" w:customStyle="1" w:styleId="16">
    <w:name w:val="批注框文本 字符"/>
    <w:link w:val="4"/>
    <w:semiHidden/>
    <w:qFormat/>
    <w:uiPriority w:val="99"/>
    <w:rPr>
      <w:kern w:val="2"/>
      <w:sz w:val="18"/>
      <w:szCs w:val="18"/>
    </w:rPr>
  </w:style>
  <w:style w:type="character" w:customStyle="1" w:styleId="17">
    <w:name w:val="页脚 字符"/>
    <w:link w:val="5"/>
    <w:qFormat/>
    <w:uiPriority w:val="99"/>
    <w:rPr>
      <w:kern w:val="2"/>
      <w:sz w:val="18"/>
      <w:szCs w:val="18"/>
    </w:rPr>
  </w:style>
  <w:style w:type="character" w:customStyle="1" w:styleId="18">
    <w:name w:val="highlight"/>
    <w:basedOn w:val="10"/>
    <w:qFormat/>
    <w:uiPriority w:val="0"/>
  </w:style>
  <w:style w:type="character" w:customStyle="1" w:styleId="19">
    <w:name w:val="日期 字符"/>
    <w:link w:val="3"/>
    <w:semiHidden/>
    <w:qFormat/>
    <w:uiPriority w:val="99"/>
    <w:rPr>
      <w:kern w:val="2"/>
      <w:sz w:val="21"/>
      <w:szCs w:val="24"/>
    </w:rPr>
  </w:style>
  <w:style w:type="paragraph" w:customStyle="1" w:styleId="20">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B7E8B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893</Words>
  <Characters>1223</Characters>
  <Lines>12</Lines>
  <Paragraphs>3</Paragraphs>
  <TotalTime>2</TotalTime>
  <ScaleCrop>false</ScaleCrop>
  <LinksUpToDate>false</LinksUpToDate>
  <CharactersWithSpaces>1463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2021-05-21T04:46:00Z</dcterms:created>
  <dc:creator>Legend User</dc:creator>
  <cp:lastModifiedBy>李李</cp:lastModifiedBy>
  <cp:lastPrinted>2022-05-12T09:26:00Z</cp:lastPrinted>
  <dcterms:modified xsi:type="dcterms:W3CDTF">2024-08-22T03:36:29Z</dcterms:modified>
  <dc:title>××产品质量监督抽查实施细则</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E1D771BABCE44E12934488BB79B929D6_13</vt:lpwstr>
  </property>
</Properties>
</file>