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60" w:lineRule="exact"/>
        <w:ind w:left="0" w:leftChars="0"/>
        <w:jc w:val="center"/>
        <w:rPr>
          <w:rStyle w:val="9"/>
          <w:rFonts w:ascii="Times New Roman" w:hAnsi="Times New Roman" w:eastAsia="方正小标宋简体"/>
          <w:b w:val="0"/>
          <w:snapToGrid w:val="0"/>
          <w:kern w:val="0"/>
          <w:sz w:val="44"/>
          <w:szCs w:val="44"/>
        </w:rPr>
      </w:pPr>
    </w:p>
    <w:p>
      <w:pPr>
        <w:keepNext w:val="0"/>
        <w:keepLines w:val="0"/>
        <w:pageBreakBefore w:val="0"/>
        <w:kinsoku/>
        <w:wordWrap/>
        <w:overflowPunct/>
        <w:topLinePunct w:val="0"/>
        <w:bidi w:val="0"/>
        <w:snapToGrid w:val="0"/>
        <w:spacing w:line="560" w:lineRule="exact"/>
        <w:ind w:left="0" w:leftChars="0"/>
        <w:jc w:val="center"/>
        <w:rPr>
          <w:rStyle w:val="9"/>
          <w:rFonts w:ascii="Times New Roman" w:hAnsi="Times New Roman" w:eastAsia="方正小标宋简体"/>
          <w:b w:val="0"/>
          <w:snapToGrid w:val="0"/>
          <w:kern w:val="0"/>
          <w:sz w:val="44"/>
          <w:szCs w:val="44"/>
        </w:rPr>
      </w:pPr>
    </w:p>
    <w:p>
      <w:pPr>
        <w:keepNext w:val="0"/>
        <w:keepLines w:val="0"/>
        <w:pageBreakBefore w:val="0"/>
        <w:kinsoku/>
        <w:wordWrap/>
        <w:overflowPunct/>
        <w:topLinePunct w:val="0"/>
        <w:bidi w:val="0"/>
        <w:snapToGrid w:val="0"/>
        <w:spacing w:line="560" w:lineRule="exact"/>
        <w:ind w:left="0" w:leftChars="0"/>
        <w:jc w:val="center"/>
        <w:rPr>
          <w:rStyle w:val="9"/>
          <w:rFonts w:ascii="Times New Roman" w:hAnsi="Times New Roman" w:eastAsia="方正小标宋简体"/>
          <w:b w:val="0"/>
          <w:snapToGrid w:val="0"/>
          <w:kern w:val="0"/>
          <w:sz w:val="44"/>
          <w:szCs w:val="44"/>
        </w:rPr>
      </w:pPr>
      <w:r>
        <w:rPr>
          <w:rStyle w:val="9"/>
          <w:rFonts w:ascii="Times New Roman" w:hAnsi="Times New Roman" w:eastAsia="方正小标宋简体"/>
          <w:b w:val="0"/>
          <w:snapToGrid w:val="0"/>
          <w:kern w:val="0"/>
          <w:sz w:val="44"/>
          <w:szCs w:val="44"/>
        </w:rPr>
        <w:t>关于规范十二师住宅小区物业服务收费和停车服务收费方案（征求意见稿）</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sz w:val="32"/>
          <w:szCs w:val="32"/>
        </w:rPr>
      </w:pP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根据</w:t>
      </w:r>
      <w:bookmarkStart w:id="0" w:name="_Hlk161305841"/>
      <w:r>
        <w:rPr>
          <w:rFonts w:hint="eastAsia" w:ascii="Times New Roman" w:hAnsi="Times New Roman" w:eastAsia="仿宋_GB2312"/>
          <w:kern w:val="0"/>
          <w:sz w:val="32"/>
          <w:szCs w:val="32"/>
          <w:lang w:eastAsia="zh-CN" w:bidi="ar"/>
        </w:rPr>
        <w:t>《新疆维吾尔自治区物业管理条例》《</w:t>
      </w:r>
      <w:r>
        <w:rPr>
          <w:rFonts w:ascii="Times New Roman" w:hAnsi="Times New Roman" w:eastAsia="仿宋_GB2312"/>
          <w:kern w:val="0"/>
          <w:sz w:val="32"/>
          <w:szCs w:val="32"/>
          <w:lang w:bidi="ar"/>
        </w:rPr>
        <w:t>关于印发&lt;新疆维吾尔自治区物业服务收费管理办法&gt;的通知》（新发改规〔2020〕8号）</w:t>
      </w:r>
      <w:bookmarkEnd w:id="0"/>
      <w:r>
        <w:rPr>
          <w:rFonts w:hint="eastAsia" w:ascii="Times New Roman" w:hAnsi="Times New Roman" w:eastAsia="仿宋_GB2312"/>
          <w:kern w:val="0"/>
          <w:sz w:val="32"/>
          <w:szCs w:val="32"/>
          <w:lang w:eastAsia="zh-CN" w:bidi="ar"/>
        </w:rPr>
        <w:t>等</w:t>
      </w:r>
      <w:r>
        <w:rPr>
          <w:rFonts w:ascii="Times New Roman" w:hAnsi="Times New Roman" w:eastAsia="仿宋_GB2312"/>
          <w:kern w:val="0"/>
          <w:sz w:val="32"/>
          <w:szCs w:val="32"/>
          <w:lang w:bidi="ar"/>
        </w:rPr>
        <w:t>文件精神，</w:t>
      </w:r>
      <w:r>
        <w:rPr>
          <w:rFonts w:hint="eastAsia" w:ascii="Times New Roman" w:hAnsi="Times New Roman" w:eastAsia="仿宋_GB2312"/>
          <w:kern w:val="0"/>
          <w:sz w:val="32"/>
          <w:szCs w:val="32"/>
          <w:lang w:eastAsia="zh-CN" w:bidi="ar"/>
        </w:rPr>
        <w:t>对住宅小区物业服务收费和停车服务收费行为进行规范，按照“同域同价”原则明确十二师辖区住宅小区物业服务收费和停车服务收费标准。具体内容如下：</w:t>
      </w:r>
    </w:p>
    <w:p>
      <w:pPr>
        <w:keepNext w:val="0"/>
        <w:keepLines w:val="0"/>
        <w:pageBreakBefore w:val="0"/>
        <w:widowControl/>
        <w:numPr>
          <w:ilvl w:val="0"/>
          <w:numId w:val="1"/>
        </w:numPr>
        <w:tabs>
          <w:tab w:val="left" w:pos="420"/>
        </w:tabs>
        <w:kinsoku/>
        <w:wordWrap/>
        <w:overflowPunct/>
        <w:topLinePunct w:val="0"/>
        <w:bidi w:val="0"/>
        <w:spacing w:line="560" w:lineRule="exact"/>
        <w:ind w:left="0" w:leftChars="0" w:firstLine="640" w:firstLineChars="200"/>
        <w:rPr>
          <w:rFonts w:ascii="Times New Roman" w:hAnsi="Times New Roman" w:eastAsia="黑体"/>
          <w:kern w:val="0"/>
          <w:sz w:val="32"/>
          <w:szCs w:val="32"/>
        </w:rPr>
      </w:pPr>
      <w:r>
        <w:rPr>
          <w:rFonts w:ascii="Times New Roman" w:hAnsi="Times New Roman" w:eastAsia="黑体"/>
          <w:kern w:val="0"/>
          <w:sz w:val="32"/>
          <w:szCs w:val="32"/>
        </w:rPr>
        <w:t>住宅小区物业服务收费</w:t>
      </w:r>
    </w:p>
    <w:p>
      <w:pPr>
        <w:keepNext w:val="0"/>
        <w:keepLines w:val="0"/>
        <w:pageBreakBefore w:val="0"/>
        <w:kinsoku/>
        <w:wordWrap/>
        <w:overflowPunct/>
        <w:topLinePunct w:val="0"/>
        <w:bidi w:val="0"/>
        <w:spacing w:line="560" w:lineRule="exact"/>
        <w:ind w:left="0" w:leftChars="0" w:firstLine="640" w:firstLineChars="200"/>
        <w:rPr>
          <w:rFonts w:hint="default" w:ascii="Times New Roman Regular" w:hAnsi="Times New Roman Regular" w:eastAsia="仿宋_GB2312" w:cs="Times New Roman Regular"/>
          <w:kern w:val="0"/>
          <w:sz w:val="32"/>
          <w:szCs w:val="32"/>
          <w:lang w:bidi="ar"/>
        </w:rPr>
      </w:pPr>
      <w:r>
        <w:rPr>
          <w:rFonts w:ascii="Times New Roman" w:hAnsi="Times New Roman" w:eastAsia="楷体_GB2312"/>
          <w:sz w:val="32"/>
          <w:szCs w:val="32"/>
        </w:rPr>
        <w:t>（一）</w:t>
      </w:r>
      <w:r>
        <w:rPr>
          <w:rFonts w:hint="default" w:ascii="Times New Roman Regular" w:hAnsi="Times New Roman Regular" w:eastAsia="仿宋_GB2312" w:cs="Times New Roman Regular"/>
          <w:kern w:val="0"/>
          <w:sz w:val="32"/>
          <w:szCs w:val="32"/>
          <w:lang w:bidi="ar"/>
        </w:rPr>
        <w:t>一〇四团、五一农场、三坪农场、头屯河农场、西山农牧场</w:t>
      </w:r>
      <w:r>
        <w:rPr>
          <w:rFonts w:hint="eastAsia" w:ascii="Times New Roman Regular" w:hAnsi="Times New Roman Regular" w:eastAsia="仿宋_GB2312" w:cs="Times New Roman Regular"/>
          <w:kern w:val="0"/>
          <w:sz w:val="32"/>
          <w:szCs w:val="32"/>
          <w:lang w:eastAsia="zh-CN" w:bidi="ar"/>
        </w:rPr>
        <w:t>、常州街片区</w:t>
      </w:r>
      <w:r>
        <w:rPr>
          <w:rFonts w:hint="default" w:ascii="Times New Roman Regular" w:hAnsi="Times New Roman Regular" w:eastAsia="仿宋_GB2312" w:cs="Times New Roman Regular"/>
          <w:kern w:val="0"/>
          <w:sz w:val="32"/>
          <w:szCs w:val="32"/>
          <w:lang w:bidi="ar"/>
        </w:rPr>
        <w:t>参照乌鲁木齐市《关于规范乌鲁木齐市住宅小区物业服务收费和停车服务收费的通知》（乌发改医价〔2017〕62号）收费标准执行。具体收费标准为：</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1.</w:t>
      </w:r>
      <w:r>
        <w:rPr>
          <w:rFonts w:ascii="Times New Roman" w:hAnsi="Times New Roman" w:eastAsia="仿宋_GB2312"/>
          <w:kern w:val="0"/>
          <w:sz w:val="32"/>
          <w:szCs w:val="32"/>
          <w:lang w:bidi="ar"/>
        </w:rPr>
        <w:t>未成立业主大会（业主委员会）提供前期物业服务的普通住宅（指单元式住宅楼栋）物业服务收费实行政府指导价。</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根据物业服务质量等级由低到高（从一级到四级）对应的物业服务收费标准分别为：</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hint="eastAsia" w:ascii="宋体" w:hAnsi="宋体" w:cs="宋体"/>
          <w:kern w:val="0"/>
          <w:sz w:val="32"/>
          <w:szCs w:val="32"/>
          <w:lang w:bidi="ar"/>
        </w:rPr>
        <w:t>①</w:t>
      </w:r>
      <w:r>
        <w:rPr>
          <w:rFonts w:ascii="Times New Roman" w:hAnsi="Times New Roman" w:eastAsia="仿宋_GB2312"/>
          <w:kern w:val="0"/>
          <w:sz w:val="32"/>
          <w:szCs w:val="32"/>
          <w:lang w:bidi="ar"/>
        </w:rPr>
        <w:t>多层不带电梯普通住宅：一级服务0.5元/月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平方米、二级服务0.6元/月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平方米、三级服务0. 7 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平方米、四级服务0.8元/月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hint="eastAsia" w:ascii="宋体" w:hAnsi="宋体" w:cs="宋体"/>
          <w:kern w:val="0"/>
          <w:sz w:val="32"/>
          <w:szCs w:val="32"/>
          <w:lang w:bidi="ar"/>
        </w:rPr>
        <w:t>②</w:t>
      </w:r>
      <w:r>
        <w:rPr>
          <w:rFonts w:ascii="Times New Roman" w:hAnsi="Times New Roman" w:eastAsia="仿宋_GB2312"/>
          <w:kern w:val="0"/>
          <w:sz w:val="32"/>
          <w:szCs w:val="32"/>
          <w:lang w:bidi="ar"/>
        </w:rPr>
        <w:t>高层或带电梯普通住宅：一级服务0.8元/月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平方米、二级服务1.1元/月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平方米、三级服务1.5元/月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平方米、四级服务2.0元/月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2.</w:t>
      </w:r>
      <w:r>
        <w:rPr>
          <w:rFonts w:ascii="Times New Roman" w:hAnsi="Times New Roman" w:eastAsia="仿宋_GB2312"/>
          <w:kern w:val="0"/>
          <w:sz w:val="32"/>
          <w:szCs w:val="32"/>
          <w:lang w:bidi="ar"/>
        </w:rPr>
        <w:t>已成立业主大会（业主委员会）的普通住宅物业服务收费实行市场调节价。</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3.</w:t>
      </w:r>
      <w:r>
        <w:rPr>
          <w:rFonts w:ascii="Times New Roman" w:hAnsi="Times New Roman" w:eastAsia="仿宋_GB2312"/>
          <w:kern w:val="0"/>
          <w:sz w:val="32"/>
          <w:szCs w:val="32"/>
          <w:lang w:bidi="ar"/>
        </w:rPr>
        <w:t>非普通住宅及非住宅物业服务收费实行市场调节价，具体物业服务收费标准由物业服务企业与业主或业主大会（业主委员会）自主协商确定。</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lang w:val="en-US" w:eastAsia="zh-CN"/>
        </w:rPr>
        <w:t>4.</w:t>
      </w:r>
      <w:r>
        <w:rPr>
          <w:rFonts w:ascii="Times New Roman" w:hAnsi="Times New Roman" w:eastAsia="仿宋_GB2312"/>
          <w:kern w:val="0"/>
          <w:sz w:val="32"/>
          <w:szCs w:val="32"/>
          <w:lang w:bidi="ar"/>
        </w:rPr>
        <w:t>住宅物业服务质量等级按照自治区住建厅《关于批准发布自治区工程建设标准〈住宅物业服务标准〉（XJJ056－2019）》（新建标函〔2019〕238号）执行。每个物业服务质量等级对应的物业服务收费标准为基准价格，具体收费标准可上下浮动10%。</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ascii="Times New Roman" w:hAnsi="Times New Roman" w:eastAsia="楷体_GB2312"/>
          <w:sz w:val="32"/>
          <w:szCs w:val="32"/>
        </w:rPr>
        <w:t>（二）</w:t>
      </w:r>
      <w:r>
        <w:rPr>
          <w:rFonts w:ascii="Times New Roman" w:hAnsi="Times New Roman" w:eastAsia="仿宋_GB2312"/>
          <w:kern w:val="0"/>
          <w:sz w:val="32"/>
          <w:szCs w:val="32"/>
          <w:lang w:bidi="ar"/>
        </w:rPr>
        <w:t>二二一团参照吐鲁番市《关于制定吐鲁番地区普通住宅物业综合服务费基准指导价的通知》（吐地发改价管〔2014〕131号）收费标准执行。具体收费标准为：</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1.</w:t>
      </w:r>
      <w:r>
        <w:rPr>
          <w:rFonts w:ascii="Times New Roman" w:hAnsi="Times New Roman" w:eastAsia="仿宋_GB2312"/>
          <w:kern w:val="0"/>
          <w:sz w:val="32"/>
          <w:szCs w:val="32"/>
          <w:lang w:bidi="ar"/>
        </w:rPr>
        <w:t>未成立业主大会（业主委员会）的普通住宅（指单元式住宅楼栋）前期物业公共服务费、保障性住宅物业公共服务费：</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根据物业服务质量等级由低到高（从一级到四级）对应的物业服务收费标准分别为：</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hint="eastAsia" w:ascii="宋体" w:hAnsi="宋体" w:cs="宋体"/>
          <w:kern w:val="0"/>
          <w:sz w:val="32"/>
          <w:szCs w:val="32"/>
          <w:lang w:bidi="ar"/>
        </w:rPr>
        <w:t>①</w:t>
      </w:r>
      <w:r>
        <w:rPr>
          <w:rFonts w:ascii="Times New Roman" w:hAnsi="Times New Roman" w:eastAsia="仿宋_GB2312"/>
          <w:kern w:val="0"/>
          <w:sz w:val="32"/>
          <w:szCs w:val="32"/>
          <w:lang w:bidi="ar"/>
        </w:rPr>
        <w:t>多层不带电梯普通住宅：一级为0.3元/月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平方米、二级为0.4元/月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平方米、三级0.5元/月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平方米、四级0.6元/月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hint="eastAsia" w:ascii="宋体" w:hAnsi="宋体" w:cs="宋体"/>
          <w:kern w:val="0"/>
          <w:sz w:val="32"/>
          <w:szCs w:val="32"/>
          <w:lang w:bidi="ar"/>
        </w:rPr>
        <w:t>②</w:t>
      </w:r>
      <w:r>
        <w:rPr>
          <w:rFonts w:ascii="Times New Roman" w:hAnsi="Times New Roman" w:eastAsia="仿宋_GB2312"/>
          <w:kern w:val="0"/>
          <w:sz w:val="32"/>
          <w:szCs w:val="32"/>
          <w:lang w:bidi="ar"/>
        </w:rPr>
        <w:t>高层或带电梯普通住宅：一级为0.8/月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平方米、二级为1.1元/月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平方米、三级为1.5元/月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平方米、四级为2.0元/月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2.</w:t>
      </w:r>
      <w:r>
        <w:rPr>
          <w:rFonts w:ascii="Times New Roman" w:hAnsi="Times New Roman" w:eastAsia="仿宋_GB2312"/>
          <w:kern w:val="0"/>
          <w:sz w:val="32"/>
          <w:szCs w:val="32"/>
          <w:lang w:bidi="ar"/>
        </w:rPr>
        <w:t>已成立业主大会（业主委员会）的普通住宅物业服务收费实行市场调节价。</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3.</w:t>
      </w:r>
      <w:r>
        <w:rPr>
          <w:rFonts w:ascii="Times New Roman" w:hAnsi="Times New Roman" w:eastAsia="仿宋_GB2312"/>
          <w:kern w:val="0"/>
          <w:sz w:val="32"/>
          <w:szCs w:val="32"/>
          <w:lang w:bidi="ar"/>
        </w:rPr>
        <w:t>非普通住宅及非住宅物业服务收费实行市场调节价，具体物业服务收费标准由物业服务企业与业主或业主大会（业主委员会）自主协商确定。</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lang w:val="en-US" w:eastAsia="zh-CN"/>
        </w:rPr>
        <w:t>4.</w:t>
      </w:r>
      <w:r>
        <w:rPr>
          <w:rFonts w:ascii="Times New Roman" w:hAnsi="Times New Roman" w:eastAsia="仿宋_GB2312"/>
          <w:kern w:val="0"/>
          <w:sz w:val="32"/>
          <w:szCs w:val="32"/>
          <w:lang w:bidi="ar"/>
        </w:rPr>
        <w:t>住宅物业服务质量等级按照自治区住建厅《关于批准发布自治区工程建设标准〈住宅物业服务标准〉（XJJ056－2019）》（新建标函〔2019〕238号）执行。每个物业服务质量等级对应的物业服务收费标准为基准价格，具体收费标准可上下浮动10%。</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ascii="Times New Roman" w:hAnsi="Times New Roman" w:eastAsia="楷体_GB2312"/>
          <w:sz w:val="32"/>
          <w:szCs w:val="32"/>
        </w:rPr>
        <w:t>（三）</w:t>
      </w:r>
      <w:r>
        <w:rPr>
          <w:rFonts w:ascii="Times New Roman" w:hAnsi="Times New Roman" w:eastAsia="仿宋_GB2312"/>
          <w:kern w:val="0"/>
          <w:sz w:val="32"/>
          <w:szCs w:val="32"/>
          <w:lang w:bidi="ar"/>
        </w:rPr>
        <w:t>二二二团参照</w:t>
      </w:r>
      <w:r>
        <w:rPr>
          <w:rFonts w:hint="eastAsia" w:ascii="Times New Roman" w:hAnsi="Times New Roman" w:eastAsia="仿宋_GB2312"/>
          <w:kern w:val="0"/>
          <w:sz w:val="32"/>
          <w:szCs w:val="32"/>
          <w:lang w:bidi="ar"/>
        </w:rPr>
        <w:t>昌吉州《关于调整我州物业服务收费标准及有关问题的通知》</w:t>
      </w:r>
      <w:r>
        <w:rPr>
          <w:rFonts w:hint="eastAsia" w:ascii="仿宋_GB2312" w:hAnsi="仿宋_GB2312" w:eastAsia="仿宋_GB2312" w:cs="仿宋_GB2312"/>
          <w:sz w:val="32"/>
          <w:szCs w:val="32"/>
        </w:rPr>
        <w:t>（昌州计价费</w:t>
      </w:r>
      <w:r>
        <w:rPr>
          <w:rFonts w:ascii="Times New Roman" w:hAnsi="Times New Roman" w:eastAsia="仿宋_GB2312"/>
          <w:kern w:val="0"/>
          <w:sz w:val="32"/>
          <w:szCs w:val="32"/>
          <w:lang w:bidi="ar"/>
        </w:rPr>
        <w:t>〔20</w:t>
      </w:r>
      <w:r>
        <w:rPr>
          <w:rFonts w:hint="eastAsia" w:ascii="Times New Roman" w:hAnsi="Times New Roman" w:eastAsia="仿宋_GB2312"/>
          <w:kern w:val="0"/>
          <w:sz w:val="32"/>
          <w:szCs w:val="32"/>
          <w:lang w:bidi="ar"/>
        </w:rPr>
        <w:t>06</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bidi="ar"/>
        </w:rPr>
        <w:t>44号</w:t>
      </w:r>
      <w:r>
        <w:rPr>
          <w:rFonts w:ascii="Times New Roman" w:hAnsi="Times New Roman" w:eastAsia="仿宋_GB2312"/>
          <w:sz w:val="32"/>
          <w:szCs w:val="32"/>
        </w:rPr>
        <w:t>）</w:t>
      </w:r>
      <w:r>
        <w:rPr>
          <w:rFonts w:ascii="Times New Roman" w:hAnsi="Times New Roman" w:eastAsia="仿宋_GB2312"/>
          <w:kern w:val="0"/>
          <w:sz w:val="32"/>
          <w:szCs w:val="32"/>
          <w:lang w:bidi="ar"/>
        </w:rPr>
        <w:t>收费标准执行。具体收费标准为：</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1.</w:t>
      </w:r>
      <w:r>
        <w:rPr>
          <w:rFonts w:ascii="Times New Roman" w:hAnsi="Times New Roman" w:eastAsia="仿宋_GB2312"/>
          <w:kern w:val="0"/>
          <w:sz w:val="32"/>
          <w:szCs w:val="32"/>
          <w:lang w:bidi="ar"/>
        </w:rPr>
        <w:t>未成立业主大会（业主委员会）的普通住宅（指单元式住宅楼栋）前期物业公共服务费、保障性住宅物业公共服务费：</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根据物业服务质量等级由高到低（从一级到四级）对应的物业服务收费标准分别为：</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hint="eastAsia" w:ascii="宋体" w:hAnsi="宋体" w:cs="宋体"/>
          <w:kern w:val="0"/>
          <w:sz w:val="32"/>
          <w:szCs w:val="32"/>
          <w:lang w:bidi="ar"/>
        </w:rPr>
        <w:t>①</w:t>
      </w:r>
      <w:r>
        <w:rPr>
          <w:rFonts w:hint="eastAsia" w:ascii="Times New Roman" w:hAnsi="Times New Roman" w:eastAsia="仿宋_GB2312"/>
          <w:kern w:val="0"/>
          <w:sz w:val="32"/>
          <w:szCs w:val="32"/>
          <w:lang w:bidi="ar"/>
        </w:rPr>
        <w:t>多层不带电梯普通住宅</w:t>
      </w:r>
      <w:r>
        <w:rPr>
          <w:rFonts w:ascii="Times New Roman" w:hAnsi="Times New Roman" w:eastAsia="仿宋_GB2312"/>
          <w:kern w:val="0"/>
          <w:sz w:val="32"/>
          <w:szCs w:val="32"/>
          <w:lang w:bidi="ar"/>
        </w:rPr>
        <w:t>：一级为</w:t>
      </w:r>
      <w:r>
        <w:rPr>
          <w:rFonts w:hint="eastAsia" w:ascii="Times New Roman" w:hAnsi="Times New Roman" w:eastAsia="仿宋_GB2312"/>
          <w:kern w:val="0"/>
          <w:sz w:val="32"/>
          <w:szCs w:val="32"/>
          <w:lang w:bidi="ar"/>
        </w:rPr>
        <w:t>0.5</w:t>
      </w:r>
      <w:r>
        <w:rPr>
          <w:rFonts w:ascii="Times New Roman" w:hAnsi="Times New Roman" w:eastAsia="仿宋_GB2312"/>
          <w:kern w:val="0"/>
          <w:sz w:val="32"/>
          <w:szCs w:val="32"/>
          <w:lang w:bidi="ar"/>
        </w:rPr>
        <w:t>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平方米、二级为0.4元/月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平方米、三级</w:t>
      </w:r>
      <w:r>
        <w:rPr>
          <w:rFonts w:hint="eastAsia" w:ascii="Times New Roman" w:hAnsi="Times New Roman" w:eastAsia="仿宋_GB2312"/>
          <w:kern w:val="0"/>
          <w:sz w:val="32"/>
          <w:szCs w:val="32"/>
          <w:lang w:bidi="ar"/>
        </w:rPr>
        <w:t>0.3</w:t>
      </w:r>
      <w:r>
        <w:rPr>
          <w:rFonts w:ascii="Times New Roman" w:hAnsi="Times New Roman" w:eastAsia="仿宋_GB2312"/>
          <w:kern w:val="0"/>
          <w:sz w:val="32"/>
          <w:szCs w:val="32"/>
          <w:lang w:bidi="ar"/>
        </w:rPr>
        <w:t>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平方米、四级0.</w:t>
      </w:r>
      <w:r>
        <w:rPr>
          <w:rFonts w:hint="eastAsia" w:ascii="Times New Roman" w:hAnsi="Times New Roman" w:eastAsia="仿宋_GB2312"/>
          <w:kern w:val="0"/>
          <w:sz w:val="32"/>
          <w:szCs w:val="32"/>
          <w:lang w:bidi="ar"/>
        </w:rPr>
        <w:t>2</w:t>
      </w:r>
      <w:r>
        <w:rPr>
          <w:rFonts w:ascii="Times New Roman" w:hAnsi="Times New Roman" w:eastAsia="仿宋_GB2312"/>
          <w:kern w:val="0"/>
          <w:sz w:val="32"/>
          <w:szCs w:val="32"/>
          <w:lang w:bidi="ar"/>
        </w:rPr>
        <w:t>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kern w:val="0"/>
          <w:sz w:val="32"/>
          <w:szCs w:val="32"/>
          <w:lang w:bidi="ar"/>
        </w:rPr>
      </w:pPr>
      <w:r>
        <w:rPr>
          <w:rFonts w:hint="eastAsia" w:ascii="宋体" w:hAnsi="宋体" w:cs="宋体"/>
          <w:kern w:val="0"/>
          <w:sz w:val="32"/>
          <w:szCs w:val="32"/>
          <w:lang w:bidi="ar"/>
        </w:rPr>
        <w:t>②</w:t>
      </w:r>
      <w:r>
        <w:rPr>
          <w:rFonts w:ascii="Times New Roman" w:hAnsi="Times New Roman" w:eastAsia="仿宋_GB2312"/>
          <w:kern w:val="0"/>
          <w:sz w:val="32"/>
          <w:szCs w:val="32"/>
          <w:lang w:bidi="ar"/>
        </w:rPr>
        <w:t>高层或带电梯普通住宅：：一级为</w:t>
      </w:r>
      <w:r>
        <w:rPr>
          <w:rFonts w:hint="eastAsia" w:ascii="Times New Roman" w:hAnsi="Times New Roman" w:eastAsia="仿宋_GB2312"/>
          <w:kern w:val="0"/>
          <w:sz w:val="32"/>
          <w:szCs w:val="32"/>
          <w:lang w:bidi="ar"/>
        </w:rPr>
        <w:t>1.3元</w:t>
      </w:r>
      <w:r>
        <w:rPr>
          <w:rFonts w:ascii="Times New Roman" w:hAnsi="Times New Roman" w:eastAsia="仿宋_GB2312"/>
          <w:kern w:val="0"/>
          <w:sz w:val="32"/>
          <w:szCs w:val="32"/>
          <w:lang w:bidi="ar"/>
        </w:rPr>
        <w:t>/月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平方米、二级为1.</w:t>
      </w:r>
      <w:r>
        <w:rPr>
          <w:rFonts w:hint="eastAsia" w:ascii="Times New Roman" w:hAnsi="Times New Roman" w:eastAsia="仿宋_GB2312"/>
          <w:kern w:val="0"/>
          <w:sz w:val="32"/>
          <w:szCs w:val="32"/>
          <w:lang w:bidi="ar"/>
        </w:rPr>
        <w:t>3</w:t>
      </w:r>
      <w:r>
        <w:rPr>
          <w:rFonts w:ascii="Times New Roman" w:hAnsi="Times New Roman" w:eastAsia="仿宋_GB2312"/>
          <w:kern w:val="0"/>
          <w:sz w:val="32"/>
          <w:szCs w:val="32"/>
          <w:lang w:bidi="ar"/>
        </w:rPr>
        <w:t>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平方米、三级为1.</w:t>
      </w:r>
      <w:r>
        <w:rPr>
          <w:rFonts w:hint="eastAsia" w:ascii="Times New Roman" w:hAnsi="Times New Roman" w:eastAsia="仿宋_GB2312"/>
          <w:kern w:val="0"/>
          <w:sz w:val="32"/>
          <w:szCs w:val="32"/>
          <w:lang w:bidi="ar"/>
        </w:rPr>
        <w:t>0</w:t>
      </w:r>
      <w:r>
        <w:rPr>
          <w:rFonts w:ascii="Times New Roman" w:hAnsi="Times New Roman" w:eastAsia="仿宋_GB2312"/>
          <w:kern w:val="0"/>
          <w:sz w:val="32"/>
          <w:szCs w:val="32"/>
          <w:lang w:bidi="ar"/>
        </w:rPr>
        <w:t>元/月</w:t>
      </w:r>
      <w:r>
        <w:rPr>
          <w:rFonts w:hint="eastAsia" w:ascii="Times New Roman" w:hAnsi="Times New Roman" w:eastAsia="仿宋_GB2312"/>
          <w:kern w:val="0"/>
          <w:sz w:val="32"/>
          <w:szCs w:val="32"/>
          <w:lang w:eastAsia="zh-CN" w:bidi="ar"/>
        </w:rPr>
        <w:t>·</w:t>
      </w:r>
      <w:r>
        <w:rPr>
          <w:rFonts w:ascii="Times New Roman" w:hAnsi="Times New Roman" w:eastAsia="仿宋_GB2312"/>
          <w:kern w:val="0"/>
          <w:sz w:val="32"/>
          <w:szCs w:val="32"/>
          <w:lang w:bidi="ar"/>
        </w:rPr>
        <w:t>平方米。</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2.</w:t>
      </w:r>
      <w:r>
        <w:rPr>
          <w:rFonts w:ascii="Times New Roman" w:hAnsi="Times New Roman" w:eastAsia="仿宋_GB2312"/>
          <w:kern w:val="0"/>
          <w:sz w:val="32"/>
          <w:szCs w:val="32"/>
          <w:lang w:bidi="ar"/>
        </w:rPr>
        <w:t>已成立业主大会（业主委员会）的普通住宅物业服务收费实行市场调节价。</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kern w:val="0"/>
          <w:sz w:val="32"/>
          <w:szCs w:val="32"/>
          <w:lang w:bidi="ar"/>
        </w:rPr>
      </w:pPr>
      <w:r>
        <w:rPr>
          <w:rFonts w:hint="eastAsia" w:ascii="仿宋_GB2312" w:hAnsi="仿宋_GB2312" w:eastAsia="仿宋_GB2312" w:cs="仿宋_GB2312"/>
          <w:b/>
          <w:bCs/>
          <w:sz w:val="32"/>
          <w:szCs w:val="32"/>
        </w:rPr>
        <w:t>3.</w:t>
      </w:r>
      <w:r>
        <w:rPr>
          <w:rFonts w:ascii="Times New Roman" w:hAnsi="Times New Roman" w:eastAsia="仿宋_GB2312"/>
          <w:kern w:val="0"/>
          <w:sz w:val="32"/>
          <w:szCs w:val="32"/>
          <w:lang w:bidi="ar"/>
        </w:rPr>
        <w:t>非普通住宅及非住宅物业服务收费实行市场调节价，具体物业服务收费标准由物业服务企业与业主或业主大会（业主委员会）自主协商确定。</w:t>
      </w:r>
    </w:p>
    <w:p>
      <w:pPr>
        <w:keepNext w:val="0"/>
        <w:keepLines w:val="0"/>
        <w:pageBreakBefore w:val="0"/>
        <w:kinsoku/>
        <w:wordWrap/>
        <w:overflowPunct/>
        <w:topLinePunct w:val="0"/>
        <w:bidi w:val="0"/>
        <w:spacing w:line="560" w:lineRule="exact"/>
        <w:ind w:left="0" w:leftChars="0" w:firstLine="643" w:firstLineChars="200"/>
        <w:rPr>
          <w:rFonts w:hint="default" w:ascii="Times New Roman" w:hAnsi="Times New Roman" w:eastAsia="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4.</w:t>
      </w:r>
      <w:r>
        <w:rPr>
          <w:rFonts w:hint="eastAsia" w:ascii="Times New Roman" w:hAnsi="Times New Roman" w:eastAsia="仿宋_GB2312"/>
          <w:kern w:val="0"/>
          <w:sz w:val="32"/>
          <w:szCs w:val="32"/>
          <w:lang w:val="en-US" w:eastAsia="zh-CN" w:bidi="ar"/>
        </w:rPr>
        <w:t>一、二级标准可在所定标准基础上上下浮动10%，带电梯的多层住宅按高层住宅标准下浮15%执行。</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黑体"/>
          <w:kern w:val="0"/>
          <w:sz w:val="32"/>
          <w:szCs w:val="32"/>
        </w:rPr>
      </w:pPr>
      <w:r>
        <w:rPr>
          <w:rFonts w:ascii="Times New Roman" w:hAnsi="Times New Roman" w:eastAsia="黑体"/>
          <w:kern w:val="0"/>
          <w:sz w:val="32"/>
          <w:szCs w:val="32"/>
          <w:lang w:bidi="ar"/>
        </w:rPr>
        <w:t>二、</w:t>
      </w:r>
      <w:r>
        <w:rPr>
          <w:rFonts w:ascii="Times New Roman" w:hAnsi="Times New Roman" w:eastAsia="黑体"/>
          <w:kern w:val="0"/>
          <w:sz w:val="32"/>
          <w:szCs w:val="32"/>
        </w:rPr>
        <w:t>住宅小区停车服务收费</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（一）</w:t>
      </w:r>
      <w:r>
        <w:rPr>
          <w:rFonts w:hint="default" w:ascii="Times New Roman Regular" w:hAnsi="Times New Roman Regular" w:eastAsia="仿宋_GB2312" w:cs="Times New Roman Regular"/>
          <w:sz w:val="32"/>
          <w:szCs w:val="32"/>
        </w:rPr>
        <w:t>一〇四团、五一农场、三坪农场、头屯河农场、西山农牧场</w:t>
      </w:r>
      <w:r>
        <w:rPr>
          <w:rFonts w:hint="eastAsia" w:ascii="Times New Roman Regular" w:hAnsi="Times New Roman Regular" w:eastAsia="仿宋_GB2312" w:cs="Times New Roman Regular"/>
          <w:sz w:val="32"/>
          <w:szCs w:val="32"/>
          <w:lang w:eastAsia="zh-CN"/>
        </w:rPr>
        <w:t>、常州街片区</w:t>
      </w:r>
      <w:r>
        <w:rPr>
          <w:rFonts w:hint="default" w:ascii="Times New Roman Regular" w:hAnsi="Times New Roman Regular" w:eastAsia="仿宋_GB2312" w:cs="Times New Roman Regular"/>
          <w:sz w:val="32"/>
          <w:szCs w:val="32"/>
        </w:rPr>
        <w:t>参照乌鲁木齐市《关于规范乌鲁木齐市住宅小区物业服务收费和停车服务收费的通知》（乌发改医价〔2017〕62号）收费标准执行。具体收费标准</w:t>
      </w:r>
      <w:r>
        <w:rPr>
          <w:rFonts w:ascii="Times New Roman" w:hAnsi="Times New Roman" w:eastAsia="仿宋_GB2312"/>
          <w:sz w:val="32"/>
          <w:szCs w:val="32"/>
        </w:rPr>
        <w:t>为：</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1.</w:t>
      </w:r>
      <w:r>
        <w:rPr>
          <w:rFonts w:ascii="Times New Roman" w:hAnsi="Times New Roman" w:eastAsia="仿宋_GB2312"/>
          <w:sz w:val="32"/>
          <w:szCs w:val="32"/>
        </w:rPr>
        <w:t>物业管理区域内的地上（地面）停车服务收费最高70元/车</w:t>
      </w:r>
      <w:r>
        <w:rPr>
          <w:rFonts w:hint="eastAsia" w:ascii="Times New Roman" w:hAnsi="Times New Roman" w:eastAsia="仿宋_GB2312"/>
          <w:kern w:val="0"/>
          <w:sz w:val="32"/>
          <w:szCs w:val="32"/>
          <w:lang w:eastAsia="zh-CN" w:bidi="ar"/>
        </w:rPr>
        <w:t>·</w:t>
      </w:r>
      <w:r>
        <w:rPr>
          <w:rFonts w:ascii="Times New Roman" w:hAnsi="Times New Roman" w:eastAsia="仿宋_GB2312"/>
          <w:sz w:val="32"/>
          <w:szCs w:val="32"/>
        </w:rPr>
        <w:t>月。临时进入居民住宅小区的社会车辆，首小时以内不收费，超过1小时按2元/小时收取（不足1小时按1小时计费），每天（24小时以内）最高收取10元。</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对普通住宅小区内业主拥有产权（或使用权）的车库或车库内的车位按照普通住宅物业服务收费标准收取物业服务费用（含车库公共照明用电费用）。其中：</w:t>
      </w:r>
      <w:r>
        <w:rPr>
          <w:rFonts w:hint="eastAsia" w:ascii="宋体" w:hAnsi="宋体" w:cs="宋体"/>
          <w:sz w:val="32"/>
          <w:szCs w:val="32"/>
        </w:rPr>
        <w:t>①</w:t>
      </w:r>
      <w:r>
        <w:rPr>
          <w:rFonts w:ascii="Times New Roman" w:hAnsi="Times New Roman" w:eastAsia="仿宋_GB2312"/>
          <w:sz w:val="32"/>
          <w:szCs w:val="32"/>
        </w:rPr>
        <w:t>多层住宅小区按照该小区多层住宅物业服务费标准收取；</w:t>
      </w:r>
      <w:r>
        <w:rPr>
          <w:rFonts w:hint="eastAsia" w:ascii="宋体" w:hAnsi="宋体" w:cs="宋体"/>
          <w:sz w:val="32"/>
          <w:szCs w:val="32"/>
        </w:rPr>
        <w:t>②</w:t>
      </w:r>
      <w:r>
        <w:rPr>
          <w:rFonts w:ascii="Times New Roman" w:hAnsi="Times New Roman" w:eastAsia="仿宋_GB2312"/>
          <w:sz w:val="32"/>
          <w:szCs w:val="32"/>
        </w:rPr>
        <w:t>高层住宅小区按照该小区高层住宅物业服务费标准收取；</w:t>
      </w:r>
      <w:r>
        <w:rPr>
          <w:rFonts w:hint="eastAsia" w:ascii="宋体" w:hAnsi="宋体" w:cs="宋体"/>
          <w:sz w:val="32"/>
          <w:szCs w:val="32"/>
        </w:rPr>
        <w:t>③</w:t>
      </w:r>
      <w:r>
        <w:rPr>
          <w:rFonts w:ascii="Times New Roman" w:hAnsi="Times New Roman" w:eastAsia="仿宋_GB2312"/>
          <w:sz w:val="32"/>
          <w:szCs w:val="32"/>
        </w:rPr>
        <w:t>多层、高层混合住宅小区共用地下车库（车位）的，按照该小区高层住宅物业服务费标准收取；</w:t>
      </w:r>
      <w:r>
        <w:rPr>
          <w:rFonts w:hint="eastAsia" w:ascii="宋体" w:hAnsi="宋体" w:cs="宋体"/>
          <w:sz w:val="32"/>
          <w:szCs w:val="32"/>
        </w:rPr>
        <w:t>④</w:t>
      </w:r>
      <w:r>
        <w:rPr>
          <w:rFonts w:ascii="Times New Roman" w:hAnsi="Times New Roman" w:eastAsia="仿宋_GB2312"/>
          <w:sz w:val="32"/>
          <w:szCs w:val="32"/>
        </w:rPr>
        <w:t>住宅和非住宅混合的小区，对住宅业主按照该小区住宅物业服务费标准收取，对非住宅业主实行市场调节价。</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以上停车服务收费标准适用于前期物业管理，业主大会（业主委员会）成立后实行市场调节价。</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2.</w:t>
      </w:r>
      <w:r>
        <w:rPr>
          <w:rFonts w:ascii="Times New Roman" w:hAnsi="Times New Roman" w:eastAsia="仿宋_GB2312"/>
          <w:sz w:val="32"/>
          <w:szCs w:val="32"/>
        </w:rPr>
        <w:t>租用地下车库（车位）和机械化立体停车库（车位）的实行市场调节价。</w:t>
      </w:r>
    </w:p>
    <w:p>
      <w:pPr>
        <w:keepNext w:val="0"/>
        <w:keepLines w:val="0"/>
        <w:pageBreakBefore w:val="0"/>
        <w:kinsoku/>
        <w:wordWrap/>
        <w:overflowPunct/>
        <w:topLinePunct w:val="0"/>
        <w:bidi w:val="0"/>
        <w:spacing w:line="560" w:lineRule="exact"/>
        <w:ind w:left="0" w:leftChars="0"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3.</w:t>
      </w:r>
      <w:r>
        <w:rPr>
          <w:rFonts w:ascii="Times New Roman" w:hAnsi="Times New Roman" w:eastAsia="仿宋_GB2312"/>
          <w:sz w:val="32"/>
          <w:szCs w:val="32"/>
        </w:rPr>
        <w:t>已购买小区内建设的机械化立体停车库（车位）或机械台板式停车库的停车物业服务费实行市场调节价。</w:t>
      </w:r>
    </w:p>
    <w:p>
      <w:pPr>
        <w:keepNext w:val="0"/>
        <w:keepLines w:val="0"/>
        <w:pageBreakBefore w:val="0"/>
        <w:kinsoku/>
        <w:wordWrap/>
        <w:overflowPunct/>
        <w:topLinePunct w:val="0"/>
        <w:bidi w:val="0"/>
        <w:spacing w:line="560" w:lineRule="exact"/>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4.在首先保证满足业主停车需求的情况下，小区内经相关部门批准向社会开放的停车场，按不超过同类地段的占道停车收费标准。</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5.按照规划设计要求有供暖设施设备并按设计温度正常供暖的地下车库（车位），其热费的收缴应按照《乌鲁木齐市供热管理条例》执行。</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二</w:t>
      </w:r>
      <w:r>
        <w:rPr>
          <w:rFonts w:ascii="Times New Roman" w:hAnsi="Times New Roman" w:eastAsia="楷体_GB2312"/>
          <w:sz w:val="32"/>
          <w:szCs w:val="32"/>
        </w:rPr>
        <w:t>）</w:t>
      </w:r>
      <w:r>
        <w:rPr>
          <w:rFonts w:ascii="Times New Roman" w:hAnsi="Times New Roman" w:eastAsia="仿宋_GB2312"/>
          <w:sz w:val="32"/>
          <w:szCs w:val="32"/>
        </w:rPr>
        <w:t>二二一团、二二二团住宅小区停车服务收费按照原有</w:t>
      </w:r>
      <w:r>
        <w:rPr>
          <w:rFonts w:hint="eastAsia" w:ascii="Times New Roman" w:hAnsi="Times New Roman" w:eastAsia="仿宋_GB2312"/>
          <w:sz w:val="32"/>
          <w:szCs w:val="32"/>
        </w:rPr>
        <w:t>标准</w:t>
      </w:r>
      <w:r>
        <w:rPr>
          <w:rFonts w:ascii="Times New Roman" w:hAnsi="Times New Roman" w:eastAsia="仿宋_GB2312"/>
          <w:sz w:val="32"/>
          <w:szCs w:val="32"/>
        </w:rPr>
        <w:t>执行，不作调整。</w:t>
      </w:r>
    </w:p>
    <w:p>
      <w:pPr>
        <w:pStyle w:val="2"/>
        <w:ind w:left="0" w:leftChars="0" w:firstLine="640" w:firstLineChars="200"/>
        <w:rPr>
          <w:rFonts w:hint="eastAsia"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三、减免政策</w:t>
      </w:r>
    </w:p>
    <w:p>
      <w:pPr>
        <w:pStyle w:val="4"/>
        <w:keepNext w:val="0"/>
        <w:keepLines w:val="0"/>
        <w:pageBreakBefore w:val="0"/>
        <w:kinsoku/>
        <w:wordWrap/>
        <w:overflowPunct/>
        <w:topLinePunct w:val="0"/>
        <w:bidi w:val="0"/>
        <w:spacing w:line="560" w:lineRule="exact"/>
        <w:ind w:left="0" w:leftChars="0" w:firstLine="640" w:firstLineChars="200"/>
        <w:rPr>
          <w:rFonts w:hint="default"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（一）</w:t>
      </w:r>
      <w:r>
        <w:rPr>
          <w:rFonts w:hint="default" w:ascii="仿宋_GB2312" w:hAnsi="仿宋_GB2312" w:eastAsia="仿宋_GB2312" w:cs="仿宋_GB2312"/>
          <w:spacing w:val="0"/>
          <w:kern w:val="2"/>
          <w:lang w:val="en-US" w:eastAsia="zh-CN"/>
        </w:rPr>
        <w:t>对执行任务的军车、警车、消防车、救护车、救灾抢险车、应急处突车、环卫车、市政设施维护维修车、城市管理行政执法车、殡葬车以及其他执法执勤车辆免收停车费。</w:t>
      </w:r>
    </w:p>
    <w:p>
      <w:pPr>
        <w:pStyle w:val="4"/>
        <w:keepNext w:val="0"/>
        <w:keepLines w:val="0"/>
        <w:pageBreakBefore w:val="0"/>
        <w:kinsoku/>
        <w:wordWrap/>
        <w:overflowPunct/>
        <w:topLinePunct w:val="0"/>
        <w:bidi w:val="0"/>
        <w:spacing w:line="560" w:lineRule="exact"/>
        <w:ind w:left="0" w:leftChars="0" w:firstLine="640" w:firstLineChars="200"/>
        <w:rPr>
          <w:rFonts w:hint="default"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（二）</w:t>
      </w:r>
      <w:r>
        <w:rPr>
          <w:rFonts w:hint="default" w:ascii="仿宋_GB2312" w:hAnsi="仿宋_GB2312" w:eastAsia="仿宋_GB2312" w:cs="仿宋_GB2312"/>
          <w:spacing w:val="0"/>
          <w:kern w:val="2"/>
          <w:lang w:val="en-US" w:eastAsia="zh-CN"/>
        </w:rPr>
        <w:t>鼓励给予新能源机动车优惠的停车服务政策。</w:t>
      </w:r>
    </w:p>
    <w:p>
      <w:pPr>
        <w:pStyle w:val="4"/>
        <w:keepNext w:val="0"/>
        <w:keepLines w:val="0"/>
        <w:pageBreakBefore w:val="0"/>
        <w:kinsoku/>
        <w:wordWrap/>
        <w:overflowPunct/>
        <w:topLinePunct w:val="0"/>
        <w:bidi w:val="0"/>
        <w:spacing w:line="560" w:lineRule="exact"/>
        <w:ind w:left="0" w:leftChars="0" w:firstLine="640" w:firstLineChars="200"/>
        <w:rPr>
          <w:rFonts w:hint="default"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（三）</w:t>
      </w:r>
      <w:r>
        <w:rPr>
          <w:rFonts w:hint="default" w:ascii="仿宋_GB2312" w:hAnsi="仿宋_GB2312" w:eastAsia="仿宋_GB2312" w:cs="仿宋_GB2312"/>
          <w:spacing w:val="0"/>
          <w:kern w:val="2"/>
          <w:lang w:val="en-US" w:eastAsia="zh-CN"/>
        </w:rPr>
        <w:t>鼓励</w:t>
      </w:r>
      <w:r>
        <w:rPr>
          <w:rFonts w:hint="default" w:ascii="Times New Roman Regular" w:hAnsi="Times New Roman Regular" w:eastAsia="仿宋_GB2312" w:cs="Times New Roman Regular"/>
          <w:spacing w:val="0"/>
          <w:kern w:val="2"/>
          <w:lang w:val="en-US" w:eastAsia="zh-CN"/>
        </w:rPr>
        <w:t>各停车场在国家法定节假日及调休、补休、连休</w:t>
      </w:r>
      <w:r>
        <w:rPr>
          <w:rFonts w:hint="default" w:ascii="仿宋_GB2312" w:hAnsi="仿宋_GB2312" w:eastAsia="仿宋_GB2312" w:cs="仿宋_GB2312"/>
          <w:spacing w:val="0"/>
          <w:kern w:val="2"/>
          <w:lang w:val="en-US" w:eastAsia="zh-CN"/>
        </w:rPr>
        <w:t>期间，探亲访友占用住宅小区的车位（含地面、地下）的车辆免收停车费。</w:t>
      </w:r>
    </w:p>
    <w:p>
      <w:pPr>
        <w:pStyle w:val="4"/>
        <w:keepNext w:val="0"/>
        <w:keepLines w:val="0"/>
        <w:pageBreakBefore w:val="0"/>
        <w:kinsoku/>
        <w:wordWrap/>
        <w:overflowPunct/>
        <w:topLinePunct w:val="0"/>
        <w:bidi w:val="0"/>
        <w:spacing w:line="560" w:lineRule="exact"/>
        <w:ind w:firstLine="640" w:firstLineChars="200"/>
        <w:rPr>
          <w:rFonts w:hint="default"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（四）</w:t>
      </w:r>
      <w:r>
        <w:rPr>
          <w:rFonts w:hint="default" w:ascii="仿宋_GB2312" w:hAnsi="仿宋_GB2312" w:eastAsia="仿宋_GB2312" w:cs="仿宋_GB2312"/>
          <w:spacing w:val="0"/>
          <w:kern w:val="2"/>
          <w:lang w:val="en-US" w:eastAsia="zh-CN"/>
        </w:rPr>
        <w:t>法律法规规定的其他应当免收的车辆。</w:t>
      </w:r>
    </w:p>
    <w:p>
      <w:pPr>
        <w:pStyle w:val="4"/>
        <w:keepNext w:val="0"/>
        <w:keepLines w:val="0"/>
        <w:pageBreakBefore w:val="0"/>
        <w:kinsoku/>
        <w:wordWrap/>
        <w:overflowPunct/>
        <w:topLinePunct w:val="0"/>
        <w:bidi w:val="0"/>
        <w:spacing w:line="560" w:lineRule="exact"/>
        <w:ind w:firstLine="640" w:firstLineChars="200"/>
        <w:rPr>
          <w:rFonts w:hint="eastAsia" w:ascii="黑体" w:hAnsi="黑体" w:eastAsia="黑体" w:cs="黑体"/>
          <w:spacing w:val="0"/>
          <w:kern w:val="2"/>
          <w:lang w:val="en-US" w:eastAsia="zh-CN"/>
        </w:rPr>
      </w:pPr>
      <w:r>
        <w:rPr>
          <w:rFonts w:hint="eastAsia" w:ascii="黑体" w:hAnsi="黑体" w:eastAsia="黑体" w:cs="黑体"/>
          <w:spacing w:val="0"/>
          <w:kern w:val="2"/>
          <w:lang w:val="en-US" w:eastAsia="zh-CN"/>
        </w:rPr>
        <w:t>四、严格执行公示制度</w:t>
      </w:r>
    </w:p>
    <w:p>
      <w:pPr>
        <w:pStyle w:val="4"/>
        <w:keepNext w:val="0"/>
        <w:keepLines w:val="0"/>
        <w:pageBreakBefore w:val="0"/>
        <w:kinsoku/>
        <w:wordWrap/>
        <w:overflowPunct/>
        <w:topLinePunct w:val="0"/>
        <w:bidi w:val="0"/>
        <w:spacing w:line="560" w:lineRule="exact"/>
        <w:rPr>
          <w:rFonts w:hint="eastAsia" w:ascii="仿宋_GB2312" w:hAnsi="仿宋_GB2312" w:eastAsia="仿宋_GB2312" w:cs="仿宋_GB2312"/>
          <w:spacing w:val="0"/>
          <w:kern w:val="2"/>
          <w:lang w:val="en-US" w:eastAsia="zh-CN"/>
        </w:rPr>
      </w:pPr>
      <w:r>
        <w:rPr>
          <w:rFonts w:hint="eastAsia" w:ascii="黑体" w:hAnsi="黑体" w:eastAsia="黑体" w:cs="黑体"/>
          <w:spacing w:val="0"/>
          <w:kern w:val="2"/>
          <w:lang w:val="en-US" w:eastAsia="zh-CN"/>
        </w:rPr>
        <w:t xml:space="preserve">    </w:t>
      </w:r>
      <w:r>
        <w:rPr>
          <w:rFonts w:hint="eastAsia" w:ascii="楷体_GB2312" w:hAnsi="楷体_GB2312" w:eastAsia="楷体_GB2312" w:cs="楷体_GB2312"/>
          <w:spacing w:val="0"/>
          <w:kern w:val="2"/>
          <w:lang w:val="en-US" w:eastAsia="zh-CN"/>
        </w:rPr>
        <w:t>（一）物业服务收费必须严格执行明码标价制度</w:t>
      </w:r>
      <w:r>
        <w:rPr>
          <w:rFonts w:hint="eastAsia" w:ascii="仿宋_GB2312" w:hAnsi="仿宋_GB2312" w:eastAsia="仿宋_GB2312" w:cs="仿宋_GB2312"/>
          <w:spacing w:val="0"/>
          <w:kern w:val="2"/>
          <w:lang w:val="en-US" w:eastAsia="zh-CN"/>
        </w:rPr>
        <w:t>。物业服务企业应将服务内容、服务标准、计费方式、服务项目、收费标准以及收费依据、</w:t>
      </w:r>
      <w:r>
        <w:rPr>
          <w:rFonts w:hint="eastAsia" w:hAnsi="仿宋_GB2312" w:cs="仿宋_GB2312"/>
          <w:spacing w:val="0"/>
          <w:kern w:val="2"/>
          <w:lang w:val="en-US" w:eastAsia="zh-CN"/>
        </w:rPr>
        <w:t>监督</w:t>
      </w:r>
      <w:r>
        <w:rPr>
          <w:rFonts w:hint="eastAsia" w:ascii="仿宋_GB2312" w:hAnsi="仿宋_GB2312" w:eastAsia="仿宋_GB2312" w:cs="仿宋_GB2312"/>
          <w:spacing w:val="0"/>
          <w:kern w:val="2"/>
          <w:lang w:val="en-US" w:eastAsia="zh-CN"/>
        </w:rPr>
        <w:t>举报电话等在物业服务区域内显著位置公示，接受业主监督。</w:t>
      </w:r>
    </w:p>
    <w:p>
      <w:pPr>
        <w:pStyle w:val="4"/>
        <w:keepNext w:val="0"/>
        <w:keepLines w:val="0"/>
        <w:pageBreakBefore w:val="0"/>
        <w:kinsoku/>
        <w:wordWrap/>
        <w:overflowPunct/>
        <w:topLinePunct w:val="0"/>
        <w:bidi w:val="0"/>
        <w:spacing w:line="560" w:lineRule="exact"/>
        <w:ind w:firstLine="640" w:firstLineChars="200"/>
        <w:rPr>
          <w:rFonts w:hint="default"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（二）严格执行公共收益收支公示制度</w:t>
      </w:r>
      <w:r>
        <w:rPr>
          <w:rFonts w:hint="eastAsia" w:hAnsi="仿宋_GB2312" w:cs="仿宋_GB2312"/>
          <w:spacing w:val="0"/>
          <w:kern w:val="2"/>
          <w:lang w:val="en-US" w:eastAsia="zh-CN"/>
        </w:rPr>
        <w:t>。物业服务企业要在物业服务区域内显著位置每半年（当年7月31日之前，次年1月31 日之前）公示一次小区公共收益收支情况，接受所在社区、业主大会（业主委员会）、业主（使用人）监督。</w:t>
      </w:r>
    </w:p>
    <w:p>
      <w:pPr>
        <w:pStyle w:val="4"/>
        <w:keepNext w:val="0"/>
        <w:keepLines w:val="0"/>
        <w:pageBreakBefore w:val="0"/>
        <w:kinsoku/>
        <w:wordWrap/>
        <w:overflowPunct/>
        <w:topLinePunct w:val="0"/>
        <w:bidi w:val="0"/>
        <w:spacing w:line="560" w:lineRule="exact"/>
        <w:ind w:firstLine="640" w:firstLineChars="200"/>
        <w:rPr>
          <w:rFonts w:ascii="Times New Roman" w:hAnsi="Times New Roman" w:eastAsia="黑体"/>
          <w:spacing w:val="0"/>
          <w:kern w:val="2"/>
          <w:szCs w:val="32"/>
        </w:rPr>
      </w:pPr>
      <w:r>
        <w:rPr>
          <w:rFonts w:hint="eastAsia" w:ascii="Times New Roman" w:hAnsi="Times New Roman" w:eastAsia="黑体"/>
          <w:spacing w:val="0"/>
          <w:kern w:val="2"/>
          <w:szCs w:val="32"/>
          <w:lang w:val="en-US" w:eastAsia="zh-CN"/>
        </w:rPr>
        <w:t>五</w:t>
      </w:r>
      <w:r>
        <w:rPr>
          <w:rFonts w:ascii="Times New Roman" w:hAnsi="Times New Roman" w:eastAsia="黑体"/>
          <w:spacing w:val="0"/>
          <w:kern w:val="2"/>
          <w:szCs w:val="32"/>
        </w:rPr>
        <w:t>、建立联合监督检查机制</w:t>
      </w:r>
    </w:p>
    <w:p>
      <w:pPr>
        <w:pStyle w:val="4"/>
        <w:keepNext w:val="0"/>
        <w:keepLines w:val="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spacing w:val="0"/>
          <w:kern w:val="2"/>
          <w:highlight w:val="none"/>
          <w:lang w:val="en-US" w:eastAsia="zh-CN"/>
        </w:rPr>
      </w:pPr>
      <w:r>
        <w:rPr>
          <w:rFonts w:hint="eastAsia" w:ascii="楷体_GB2312" w:hAnsi="楷体_GB2312" w:eastAsia="楷体_GB2312" w:cs="楷体_GB2312"/>
          <w:spacing w:val="0"/>
          <w:kern w:val="2"/>
          <w:highlight w:val="none"/>
          <w:lang w:val="en-US" w:eastAsia="zh-CN"/>
        </w:rPr>
        <w:t>（一）</w:t>
      </w:r>
      <w:r>
        <w:rPr>
          <w:rFonts w:hint="eastAsia" w:ascii="仿宋_GB2312" w:hAnsi="仿宋_GB2312" w:eastAsia="仿宋_GB2312" w:cs="仿宋_GB2312"/>
          <w:spacing w:val="0"/>
          <w:kern w:val="2"/>
          <w:highlight w:val="none"/>
          <w:lang w:val="en-US" w:eastAsia="zh-CN"/>
        </w:rPr>
        <w:t>各团场</w:t>
      </w:r>
      <w:r>
        <w:rPr>
          <w:rFonts w:hint="eastAsia" w:hAnsi="仿宋_GB2312" w:cs="仿宋_GB2312"/>
          <w:spacing w:val="0"/>
          <w:kern w:val="2"/>
          <w:highlight w:val="none"/>
          <w:lang w:val="en-US" w:eastAsia="zh-CN"/>
        </w:rPr>
        <w:t>、常州街片区管委会</w:t>
      </w:r>
      <w:r>
        <w:rPr>
          <w:rFonts w:hint="eastAsia" w:ascii="仿宋_GB2312" w:hAnsi="仿宋_GB2312" w:eastAsia="仿宋_GB2312" w:cs="仿宋_GB2312"/>
          <w:spacing w:val="0"/>
          <w:kern w:val="2"/>
          <w:highlight w:val="none"/>
          <w:lang w:val="en-US" w:eastAsia="zh-CN"/>
        </w:rPr>
        <w:t>负责组织</w:t>
      </w:r>
      <w:r>
        <w:rPr>
          <w:rFonts w:hint="eastAsia" w:hAnsi="仿宋_GB2312" w:cs="仿宋_GB2312"/>
          <w:spacing w:val="0"/>
          <w:kern w:val="2"/>
          <w:highlight w:val="none"/>
          <w:lang w:val="en-US" w:eastAsia="zh-CN"/>
        </w:rPr>
        <w:t>、</w:t>
      </w:r>
      <w:r>
        <w:rPr>
          <w:rFonts w:hint="eastAsia" w:ascii="仿宋_GB2312" w:hAnsi="仿宋_GB2312" w:eastAsia="仿宋_GB2312" w:cs="仿宋_GB2312"/>
          <w:spacing w:val="0"/>
          <w:kern w:val="2"/>
          <w:highlight w:val="none"/>
          <w:lang w:val="en-US" w:eastAsia="zh-CN"/>
        </w:rPr>
        <w:t>指导</w:t>
      </w:r>
      <w:r>
        <w:rPr>
          <w:rFonts w:hint="eastAsia" w:hAnsi="仿宋_GB2312" w:cs="仿宋_GB2312"/>
          <w:spacing w:val="0"/>
          <w:kern w:val="2"/>
          <w:highlight w:val="none"/>
          <w:lang w:val="en-US" w:eastAsia="zh-CN"/>
        </w:rPr>
        <w:t>本辖区的业主</w:t>
      </w:r>
      <w:r>
        <w:rPr>
          <w:rFonts w:hint="eastAsia" w:ascii="仿宋_GB2312" w:hAnsi="仿宋_GB2312" w:eastAsia="仿宋_GB2312" w:cs="仿宋_GB2312"/>
          <w:spacing w:val="0"/>
          <w:kern w:val="2"/>
          <w:highlight w:val="none"/>
          <w:lang w:val="en-US" w:eastAsia="zh-CN"/>
        </w:rPr>
        <w:t>成立业主大会和业主委员会选举换届，</w:t>
      </w:r>
      <w:r>
        <w:rPr>
          <w:rFonts w:hint="eastAsia" w:hAnsi="仿宋_GB2312" w:cs="仿宋_GB2312"/>
          <w:spacing w:val="0"/>
          <w:kern w:val="2"/>
          <w:highlight w:val="none"/>
          <w:lang w:val="en-US" w:eastAsia="zh-CN"/>
        </w:rPr>
        <w:t>监督业主大会和业主委员会依法履行职责，</w:t>
      </w:r>
      <w:r>
        <w:rPr>
          <w:rFonts w:hint="eastAsia" w:ascii="仿宋_GB2312" w:hAnsi="仿宋_GB2312" w:eastAsia="仿宋_GB2312" w:cs="仿宋_GB2312"/>
          <w:spacing w:val="0"/>
          <w:kern w:val="2"/>
          <w:highlight w:val="none"/>
          <w:lang w:val="en-US" w:eastAsia="zh-CN"/>
        </w:rPr>
        <w:t>做好业主委员会备案、登记、档案管理等工作；协调</w:t>
      </w:r>
      <w:r>
        <w:rPr>
          <w:rFonts w:hint="eastAsia" w:hAnsi="仿宋_GB2312" w:cs="仿宋_GB2312"/>
          <w:spacing w:val="0"/>
          <w:kern w:val="2"/>
          <w:highlight w:val="none"/>
          <w:lang w:val="en-US" w:eastAsia="zh-CN"/>
        </w:rPr>
        <w:t>物业服务与</w:t>
      </w:r>
      <w:r>
        <w:rPr>
          <w:rFonts w:hint="eastAsia" w:ascii="仿宋_GB2312" w:hAnsi="仿宋_GB2312" w:eastAsia="仿宋_GB2312" w:cs="仿宋_GB2312"/>
          <w:spacing w:val="0"/>
          <w:kern w:val="2"/>
          <w:highlight w:val="none"/>
          <w:lang w:val="en-US" w:eastAsia="zh-CN"/>
        </w:rPr>
        <w:t>社区</w:t>
      </w:r>
      <w:r>
        <w:rPr>
          <w:rFonts w:hint="eastAsia" w:hAnsi="仿宋_GB2312" w:cs="仿宋_GB2312"/>
          <w:spacing w:val="0"/>
          <w:kern w:val="2"/>
          <w:highlight w:val="none"/>
          <w:lang w:val="en-US" w:eastAsia="zh-CN"/>
        </w:rPr>
        <w:t>管理</w:t>
      </w:r>
      <w:r>
        <w:rPr>
          <w:rFonts w:hint="eastAsia" w:ascii="仿宋_GB2312" w:hAnsi="仿宋_GB2312" w:eastAsia="仿宋_GB2312" w:cs="仿宋_GB2312"/>
          <w:spacing w:val="0"/>
          <w:kern w:val="2"/>
          <w:highlight w:val="none"/>
          <w:lang w:val="en-US" w:eastAsia="zh-CN"/>
        </w:rPr>
        <w:t>、</w:t>
      </w:r>
      <w:r>
        <w:rPr>
          <w:rFonts w:hint="eastAsia" w:hAnsi="仿宋_GB2312" w:cs="仿宋_GB2312"/>
          <w:spacing w:val="0"/>
          <w:kern w:val="2"/>
          <w:highlight w:val="none"/>
          <w:lang w:val="en-US" w:eastAsia="zh-CN"/>
        </w:rPr>
        <w:t>社区服务</w:t>
      </w:r>
      <w:r>
        <w:rPr>
          <w:rFonts w:hint="eastAsia" w:ascii="仿宋_GB2312" w:hAnsi="仿宋_GB2312" w:eastAsia="仿宋_GB2312" w:cs="仿宋_GB2312"/>
          <w:spacing w:val="0"/>
          <w:kern w:val="2"/>
          <w:highlight w:val="none"/>
          <w:lang w:val="en-US" w:eastAsia="zh-CN"/>
        </w:rPr>
        <w:t>的关系</w:t>
      </w:r>
      <w:r>
        <w:rPr>
          <w:rFonts w:hint="eastAsia" w:hAnsi="仿宋_GB2312" w:cs="仿宋_GB2312"/>
          <w:spacing w:val="0"/>
          <w:kern w:val="2"/>
          <w:highlight w:val="none"/>
          <w:lang w:val="en-US" w:eastAsia="zh-CN"/>
        </w:rPr>
        <w:t>，加强物业管理调解组织建设，发挥基层综治中心和网格员作用，积极促进物业管理矛盾就地化解。</w:t>
      </w:r>
    </w:p>
    <w:p>
      <w:pPr>
        <w:pStyle w:val="4"/>
        <w:keepNext w:val="0"/>
        <w:keepLines w:val="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color w:val="auto"/>
          <w:spacing w:val="0"/>
          <w:kern w:val="2"/>
          <w:highlight w:val="none"/>
          <w:lang w:val="en-US" w:eastAsia="zh-CN"/>
        </w:rPr>
      </w:pPr>
      <w:r>
        <w:rPr>
          <w:rFonts w:hint="eastAsia" w:ascii="楷体_GB2312" w:hAnsi="楷体_GB2312" w:eastAsia="楷体_GB2312" w:cs="楷体_GB2312"/>
          <w:color w:val="auto"/>
          <w:spacing w:val="0"/>
          <w:kern w:val="2"/>
          <w:highlight w:val="none"/>
          <w:lang w:val="en-US" w:eastAsia="zh-CN"/>
        </w:rPr>
        <w:t>（二）</w:t>
      </w:r>
      <w:r>
        <w:rPr>
          <w:rFonts w:hint="eastAsia" w:ascii="仿宋_GB2312" w:hAnsi="仿宋_GB2312" w:eastAsia="仿宋_GB2312" w:cs="仿宋_GB2312"/>
          <w:color w:val="auto"/>
          <w:spacing w:val="0"/>
          <w:kern w:val="2"/>
          <w:highlight w:val="none"/>
          <w:lang w:val="en-US" w:eastAsia="zh-CN"/>
        </w:rPr>
        <w:t>师住房和城乡建设</w:t>
      </w:r>
      <w:r>
        <w:rPr>
          <w:rFonts w:hint="eastAsia" w:hAnsi="仿宋_GB2312" w:cs="仿宋_GB2312"/>
          <w:color w:val="auto"/>
          <w:spacing w:val="0"/>
          <w:kern w:val="2"/>
          <w:highlight w:val="none"/>
          <w:lang w:val="en-US" w:eastAsia="zh-CN"/>
        </w:rPr>
        <w:t>部门负责对师域内物业管理活动实施监督管理；师发展改革部门按照定价权限制定物业服务收费标准，根据物业服务成本变动情况，适时调整前期物业公共服务费政府指导价。</w:t>
      </w:r>
    </w:p>
    <w:p>
      <w:pPr>
        <w:pStyle w:val="4"/>
        <w:keepNext w:val="0"/>
        <w:keepLines w:val="0"/>
        <w:pageBreakBefore w:val="0"/>
        <w:kinsoku/>
        <w:wordWrap/>
        <w:overflowPunct/>
        <w:topLinePunct w:val="0"/>
        <w:bidi w:val="0"/>
        <w:spacing w:line="560" w:lineRule="exact"/>
        <w:ind w:left="0" w:leftChars="0" w:firstLine="640" w:firstLineChars="200"/>
        <w:rPr>
          <w:rFonts w:hint="eastAsia"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highlight w:val="none"/>
          <w:lang w:val="en-US" w:eastAsia="zh-CN"/>
        </w:rPr>
        <w:t>（三）</w:t>
      </w:r>
      <w:r>
        <w:rPr>
          <w:rFonts w:hint="eastAsia" w:ascii="仿宋_GB2312" w:hAnsi="仿宋_GB2312" w:eastAsia="仿宋_GB2312" w:cs="仿宋_GB2312"/>
          <w:spacing w:val="0"/>
          <w:kern w:val="2"/>
          <w:highlight w:val="none"/>
          <w:lang w:val="en-US" w:eastAsia="zh-CN"/>
        </w:rPr>
        <w:t>师市场监督</w:t>
      </w:r>
      <w:r>
        <w:rPr>
          <w:rFonts w:hint="eastAsia" w:ascii="仿宋_GB2312" w:hAnsi="仿宋_GB2312" w:eastAsia="仿宋_GB2312" w:cs="仿宋_GB2312"/>
          <w:spacing w:val="0"/>
          <w:kern w:val="2"/>
          <w:lang w:val="en-US" w:eastAsia="zh-CN"/>
        </w:rPr>
        <w:t>管理、住房和城乡建设</w:t>
      </w:r>
      <w:r>
        <w:rPr>
          <w:rFonts w:hint="eastAsia" w:hAnsi="仿宋_GB2312" w:cs="仿宋_GB2312"/>
          <w:spacing w:val="0"/>
          <w:kern w:val="2"/>
          <w:lang w:val="en-US" w:eastAsia="zh-CN"/>
        </w:rPr>
        <w:t>行政主管部门</w:t>
      </w:r>
      <w:r>
        <w:rPr>
          <w:rFonts w:hint="eastAsia" w:ascii="仿宋_GB2312" w:hAnsi="仿宋_GB2312" w:eastAsia="仿宋_GB2312" w:cs="仿宋_GB2312"/>
          <w:spacing w:val="0"/>
          <w:kern w:val="2"/>
          <w:lang w:val="en-US" w:eastAsia="zh-CN"/>
        </w:rPr>
        <w:t>要进一步加强对建设单位、物业服务企业收费行为的监督检查，对物业服务企业不按规定收费、未实行明码标价等违法行为，依法严肃查处。</w:t>
      </w:r>
    </w:p>
    <w:p>
      <w:pPr>
        <w:pStyle w:val="4"/>
        <w:keepNext w:val="0"/>
        <w:keepLines w:val="0"/>
        <w:pageBreakBefore w:val="0"/>
        <w:kinsoku/>
        <w:wordWrap/>
        <w:overflowPunct/>
        <w:topLinePunct w:val="0"/>
        <w:bidi w:val="0"/>
        <w:spacing w:line="560" w:lineRule="exact"/>
        <w:ind w:left="0" w:leftChars="0" w:firstLine="640" w:firstLineChars="200"/>
        <w:rPr>
          <w:rFonts w:ascii="Times New Roman" w:hAnsi="Times New Roman" w:eastAsia="黑体"/>
          <w:spacing w:val="0"/>
          <w:kern w:val="2"/>
          <w:szCs w:val="32"/>
        </w:rPr>
      </w:pPr>
      <w:r>
        <w:rPr>
          <w:rFonts w:hint="eastAsia" w:ascii="Times New Roman" w:hAnsi="Times New Roman" w:eastAsia="黑体"/>
          <w:spacing w:val="0"/>
          <w:kern w:val="2"/>
          <w:szCs w:val="32"/>
          <w:lang w:val="en-US" w:eastAsia="zh-CN"/>
        </w:rPr>
        <w:t>六</w:t>
      </w:r>
      <w:r>
        <w:rPr>
          <w:rFonts w:ascii="Times New Roman" w:hAnsi="Times New Roman" w:eastAsia="黑体"/>
          <w:spacing w:val="0"/>
          <w:kern w:val="2"/>
          <w:szCs w:val="32"/>
        </w:rPr>
        <w:t>、</w:t>
      </w:r>
      <w:r>
        <w:rPr>
          <w:rFonts w:hint="eastAsia" w:ascii="Times New Roman" w:hAnsi="Times New Roman" w:eastAsia="黑体"/>
          <w:spacing w:val="0"/>
          <w:kern w:val="2"/>
          <w:szCs w:val="32"/>
          <w:lang w:eastAsia="zh-CN"/>
        </w:rPr>
        <w:t>执行</w:t>
      </w:r>
      <w:r>
        <w:rPr>
          <w:rFonts w:ascii="Times New Roman" w:hAnsi="Times New Roman" w:eastAsia="黑体"/>
          <w:spacing w:val="0"/>
          <w:kern w:val="2"/>
          <w:szCs w:val="32"/>
        </w:rPr>
        <w:t>兵地价格</w:t>
      </w:r>
      <w:r>
        <w:rPr>
          <w:rFonts w:hint="eastAsia" w:ascii="Times New Roman" w:hAnsi="Times New Roman" w:eastAsia="黑体"/>
          <w:spacing w:val="0"/>
          <w:kern w:val="2"/>
          <w:szCs w:val="32"/>
          <w:lang w:eastAsia="zh-CN"/>
        </w:rPr>
        <w:t>联动</w:t>
      </w:r>
      <w:r>
        <w:rPr>
          <w:rFonts w:ascii="Times New Roman" w:hAnsi="Times New Roman" w:eastAsia="黑体"/>
          <w:spacing w:val="0"/>
          <w:kern w:val="2"/>
          <w:szCs w:val="32"/>
        </w:rPr>
        <w:t>联调机制</w:t>
      </w:r>
    </w:p>
    <w:p>
      <w:pPr>
        <w:keepNext w:val="0"/>
        <w:keepLines w:val="0"/>
        <w:pageBreakBefore w:val="0"/>
        <w:tabs>
          <w:tab w:val="left" w:pos="1140"/>
        </w:tabs>
        <w:kinsoku/>
        <w:wordWrap/>
        <w:overflowPunct/>
        <w:topLinePunct w:val="0"/>
        <w:bidi w:val="0"/>
        <w:spacing w:line="560" w:lineRule="exact"/>
        <w:ind w:left="0" w:leftChars="0" w:firstLine="640" w:firstLineChars="200"/>
        <w:rPr>
          <w:rFonts w:hint="eastAsia" w:ascii="黑体" w:hAnsi="黑体" w:eastAsia="黑体" w:cs="黑体"/>
          <w:sz w:val="32"/>
          <w:szCs w:val="32"/>
          <w:lang w:val="en-US" w:eastAsia="zh-CN"/>
        </w:rPr>
      </w:pPr>
      <w:r>
        <w:rPr>
          <w:rFonts w:hint="eastAsia" w:ascii="Times New Roman" w:hAnsi="Times New Roman" w:eastAsia="仿宋_GB2312"/>
          <w:sz w:val="32"/>
          <w:lang w:eastAsia="zh-CN"/>
        </w:rPr>
        <w:t>按照《第十二师兵地价格联动联调机制工作方案（试行）》，在统筹成本、收益及“同域同价”基础上，视相邻州（市）、县（市）价格调整情况，报经十二师同意后及时进行价格调整</w:t>
      </w:r>
      <w:r>
        <w:rPr>
          <w:rFonts w:ascii="Times New Roman" w:hAnsi="Times New Roman" w:eastAsia="仿宋_GB2312"/>
          <w:sz w:val="32"/>
        </w:rPr>
        <w:t>。</w:t>
      </w:r>
    </w:p>
    <w:p>
      <w:pPr>
        <w:keepNext w:val="0"/>
        <w:keepLines w:val="0"/>
        <w:pageBreakBefore w:val="0"/>
        <w:kinsoku/>
        <w:wordWrap/>
        <w:overflowPunct/>
        <w:topLinePunct w:val="0"/>
        <w:bidi w:val="0"/>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、执行时间</w:t>
      </w:r>
    </w:p>
    <w:p>
      <w:pPr>
        <w:keepNext w:val="0"/>
        <w:keepLines w:val="0"/>
        <w:pageBreakBefore w:val="0"/>
        <w:tabs>
          <w:tab w:val="left" w:pos="1140"/>
        </w:tabs>
        <w:kinsoku/>
        <w:wordWrap/>
        <w:overflowPunct/>
        <w:topLinePunct w:val="0"/>
        <w:bidi w:val="0"/>
        <w:spacing w:line="560" w:lineRule="exact"/>
        <w:ind w:firstLine="640" w:firstLineChars="200"/>
        <w:jc w:val="left"/>
        <w:rPr>
          <w:rFonts w:hint="eastAsia" w:ascii="Times New Roman" w:hAnsi="Times New Roman" w:eastAsia="仿宋_GB2312"/>
          <w:lang w:eastAsia="zh-CN"/>
        </w:rPr>
      </w:pPr>
      <w:r>
        <w:rPr>
          <w:rFonts w:hint="eastAsia" w:ascii="Times New Roman Regular" w:hAnsi="Times New Roman Regular" w:eastAsia="仿宋_GB2312" w:cs="Times New Roman Regular"/>
          <w:sz w:val="32"/>
          <w:szCs w:val="32"/>
          <w:lang w:eastAsia="zh-CN"/>
        </w:rPr>
        <w:t>本通知</w:t>
      </w:r>
      <w:r>
        <w:rPr>
          <w:rFonts w:ascii="Times New Roman Regular" w:hAnsi="Times New Roman Regular" w:eastAsia="仿宋_GB2312" w:cs="Times New Roman Regular"/>
          <w:sz w:val="32"/>
          <w:szCs w:val="32"/>
        </w:rPr>
        <w:t>自</w:t>
      </w:r>
      <w:bookmarkStart w:id="1" w:name="_Hlk161305358"/>
      <w:r>
        <w:rPr>
          <w:rFonts w:hint="eastAsia" w:ascii="Times New Roman Regular" w:hAnsi="Times New Roman Regular" w:eastAsia="仿宋_GB2312" w:cs="Times New Roman Regular"/>
          <w:sz w:val="32"/>
          <w:szCs w:val="32"/>
          <w:lang w:eastAsia="zh-CN"/>
        </w:rPr>
        <w:t>印发</w:t>
      </w:r>
      <w:r>
        <w:rPr>
          <w:rFonts w:hint="eastAsia" w:ascii="Times New Roman Regular" w:hAnsi="Times New Roman Regular" w:eastAsia="仿宋_GB2312" w:cs="Times New Roman Regular"/>
          <w:sz w:val="32"/>
          <w:szCs w:val="32"/>
        </w:rPr>
        <w:t>之日</w:t>
      </w:r>
      <w:r>
        <w:rPr>
          <w:rFonts w:ascii="Times New Roman Regular" w:hAnsi="Times New Roman Regular" w:eastAsia="仿宋_GB2312" w:cs="Times New Roman Regular"/>
          <w:sz w:val="32"/>
          <w:szCs w:val="32"/>
        </w:rPr>
        <w:t>起执行</w:t>
      </w:r>
      <w:bookmarkEnd w:id="1"/>
      <w:r>
        <w:rPr>
          <w:rFonts w:hint="eastAsia" w:ascii="Times New Roman Regular" w:hAnsi="Times New Roman Regular" w:eastAsia="仿宋_GB2312" w:cs="Times New Roman Regular"/>
          <w:color w:val="333333"/>
          <w:kern w:val="0"/>
          <w:sz w:val="32"/>
          <w:szCs w:val="32"/>
          <w:shd w:val="clear" w:color="auto" w:fill="FFFFFF"/>
          <w:lang w:eastAsia="zh-CN" w:bidi="ar"/>
        </w:rPr>
        <w:t>，此前有关规定与本通知不一致的，以本通知为准。</w:t>
      </w:r>
      <w:bookmarkStart w:id="2" w:name="_GoBack"/>
      <w:bookmarkEnd w:id="2"/>
    </w:p>
    <w:sectPr>
      <w:headerReference r:id="rId3" w:type="default"/>
      <w:footerReference r:id="rId4" w:type="default"/>
      <w:pgSz w:w="11906" w:h="16838" w:orient="landscape"/>
      <w:pgMar w:top="2098" w:right="1474" w:bottom="1985" w:left="1588" w:header="851" w:footer="992" w:gutter="0"/>
      <w:pgNumType w:fmt="numberInDash"/>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606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605B0"/>
    <w:multiLevelType w:val="singleLevel"/>
    <w:tmpl w:val="EFF605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F080E"/>
    <w:rsid w:val="001137E4"/>
    <w:rsid w:val="00185462"/>
    <w:rsid w:val="002145D0"/>
    <w:rsid w:val="00214D34"/>
    <w:rsid w:val="00225001"/>
    <w:rsid w:val="002370F3"/>
    <w:rsid w:val="002D082F"/>
    <w:rsid w:val="00331D4C"/>
    <w:rsid w:val="003753D3"/>
    <w:rsid w:val="00385B90"/>
    <w:rsid w:val="00420B35"/>
    <w:rsid w:val="00502A72"/>
    <w:rsid w:val="00526093"/>
    <w:rsid w:val="00553CC7"/>
    <w:rsid w:val="005C1C32"/>
    <w:rsid w:val="005E3D05"/>
    <w:rsid w:val="006257FB"/>
    <w:rsid w:val="00666C50"/>
    <w:rsid w:val="00745642"/>
    <w:rsid w:val="007D6195"/>
    <w:rsid w:val="00AA339B"/>
    <w:rsid w:val="00B13A91"/>
    <w:rsid w:val="00D2099A"/>
    <w:rsid w:val="00EC03CB"/>
    <w:rsid w:val="00F01A3D"/>
    <w:rsid w:val="00F1024D"/>
    <w:rsid w:val="00F53360"/>
    <w:rsid w:val="02744954"/>
    <w:rsid w:val="04FC0BC4"/>
    <w:rsid w:val="0A2F1ABA"/>
    <w:rsid w:val="0B1677EF"/>
    <w:rsid w:val="0DAC04DB"/>
    <w:rsid w:val="0E257E30"/>
    <w:rsid w:val="0EA34140"/>
    <w:rsid w:val="13706BF0"/>
    <w:rsid w:val="16B21449"/>
    <w:rsid w:val="16F468AB"/>
    <w:rsid w:val="17D12019"/>
    <w:rsid w:val="17D70E84"/>
    <w:rsid w:val="1C150448"/>
    <w:rsid w:val="1DAF072C"/>
    <w:rsid w:val="1F7E7A5F"/>
    <w:rsid w:val="202D4B91"/>
    <w:rsid w:val="20C11A4B"/>
    <w:rsid w:val="2254120C"/>
    <w:rsid w:val="24136007"/>
    <w:rsid w:val="250B3654"/>
    <w:rsid w:val="27143551"/>
    <w:rsid w:val="28271C0E"/>
    <w:rsid w:val="289E4E09"/>
    <w:rsid w:val="2DE2EC1C"/>
    <w:rsid w:val="2DEA0185"/>
    <w:rsid w:val="2E777B03"/>
    <w:rsid w:val="2F8868A6"/>
    <w:rsid w:val="2F970E9B"/>
    <w:rsid w:val="2FFF805C"/>
    <w:rsid w:val="307F55F8"/>
    <w:rsid w:val="33683E1D"/>
    <w:rsid w:val="33882902"/>
    <w:rsid w:val="377BC287"/>
    <w:rsid w:val="37901787"/>
    <w:rsid w:val="39B57D19"/>
    <w:rsid w:val="39E73C11"/>
    <w:rsid w:val="3AFF687A"/>
    <w:rsid w:val="3BB83DBB"/>
    <w:rsid w:val="3E2E58CE"/>
    <w:rsid w:val="40440619"/>
    <w:rsid w:val="42017F6F"/>
    <w:rsid w:val="43B822E5"/>
    <w:rsid w:val="466235B0"/>
    <w:rsid w:val="47267D80"/>
    <w:rsid w:val="4823518A"/>
    <w:rsid w:val="50CA0599"/>
    <w:rsid w:val="54A64C22"/>
    <w:rsid w:val="553F0D54"/>
    <w:rsid w:val="581F1240"/>
    <w:rsid w:val="58C75DB3"/>
    <w:rsid w:val="58F01AF8"/>
    <w:rsid w:val="5C7021F4"/>
    <w:rsid w:val="5CDA4F7F"/>
    <w:rsid w:val="5CFEDB25"/>
    <w:rsid w:val="5E5FA788"/>
    <w:rsid w:val="5F2D0793"/>
    <w:rsid w:val="626FE30F"/>
    <w:rsid w:val="63372A5C"/>
    <w:rsid w:val="65DA60D5"/>
    <w:rsid w:val="66C25412"/>
    <w:rsid w:val="67CD773F"/>
    <w:rsid w:val="689B6629"/>
    <w:rsid w:val="6BFB0389"/>
    <w:rsid w:val="6DFFB645"/>
    <w:rsid w:val="70AD43AD"/>
    <w:rsid w:val="71E02A4C"/>
    <w:rsid w:val="71FB7B85"/>
    <w:rsid w:val="74C506E5"/>
    <w:rsid w:val="755B55AF"/>
    <w:rsid w:val="75EFA71B"/>
    <w:rsid w:val="779D79C0"/>
    <w:rsid w:val="78F665F0"/>
    <w:rsid w:val="7A6A32E4"/>
    <w:rsid w:val="7C79DF02"/>
    <w:rsid w:val="7D5B300F"/>
    <w:rsid w:val="7DE64BDB"/>
    <w:rsid w:val="937F1A7F"/>
    <w:rsid w:val="9766CBFA"/>
    <w:rsid w:val="AEFF204D"/>
    <w:rsid w:val="BE68B7C0"/>
    <w:rsid w:val="CFFF080E"/>
    <w:rsid w:val="E9368FB5"/>
    <w:rsid w:val="F9F92390"/>
    <w:rsid w:val="FDFE09F1"/>
    <w:rsid w:val="FDFE3333"/>
    <w:rsid w:val="FF777CE5"/>
    <w:rsid w:val="FFBF8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firstLineChars="200"/>
    </w:pPr>
    <w:rPr>
      <w:rFonts w:ascii="Calibri" w:eastAsia="宋体"/>
      <w:kern w:val="2"/>
      <w:sz w:val="21"/>
    </w:rPr>
  </w:style>
  <w:style w:type="paragraph" w:styleId="3">
    <w:name w:val="Body Text"/>
    <w:basedOn w:val="1"/>
    <w:unhideWhenUsed/>
    <w:qFormat/>
    <w:uiPriority w:val="99"/>
    <w:pPr>
      <w:autoSpaceDE w:val="0"/>
      <w:autoSpaceDN w:val="0"/>
      <w:adjustRightInd w:val="0"/>
      <w:snapToGrid w:val="0"/>
      <w:spacing w:line="580" w:lineRule="exact"/>
      <w:textAlignment w:val="baseline"/>
    </w:pPr>
    <w:rPr>
      <w:rFonts w:ascii="仿宋_GB2312" w:eastAsia="仿宋_GB2312"/>
      <w:spacing w:val="-20"/>
      <w:kern w:val="0"/>
      <w:sz w:val="32"/>
    </w:rPr>
  </w:style>
  <w:style w:type="paragraph" w:styleId="4">
    <w:name w:val="Body Text First Indent"/>
    <w:basedOn w:val="3"/>
    <w:unhideWhenUsed/>
    <w:qFormat/>
    <w:uiPriority w:val="99"/>
  </w:style>
  <w:style w:type="paragraph" w:styleId="5">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eastAsia="宋体" w:cs="Times New Roman"/>
      <w:kern w:val="2"/>
      <w:sz w:val="18"/>
      <w:szCs w:val="24"/>
      <w:lang w:val="en-US" w:eastAsia="zh-CN" w:bidi="ar-SA"/>
    </w:rPr>
  </w:style>
  <w:style w:type="character" w:styleId="9">
    <w:name w:val="Strong"/>
    <w:qFormat/>
    <w:uiPriority w:val="99"/>
    <w:rPr>
      <w:rFonts w:cs="Times New Roman"/>
      <w:b/>
      <w:bC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589</Words>
  <Characters>3359</Characters>
  <Lines>27</Lines>
  <Paragraphs>7</Paragraphs>
  <TotalTime>68</TotalTime>
  <ScaleCrop>false</ScaleCrop>
  <LinksUpToDate>false</LinksUpToDate>
  <CharactersWithSpaces>3941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2023-12-12T18:37:00Z</dcterms:created>
  <dc:creator>八百个逗比奔北坡</dc:creator>
  <cp:lastModifiedBy>Administrator</cp:lastModifiedBy>
  <cp:lastPrinted>2025-09-01T09:31:16Z</cp:lastPrinted>
  <dcterms:modified xsi:type="dcterms:W3CDTF">2025-09-01T09:32:17Z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7567BF07D82A1D4D55C77B65F5404E98_43</vt:lpwstr>
  </property>
</Properties>
</file>