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7ADA70">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关于乌鲁木齐坚铸材料有限公司年处理15000吨圆钢角钢镀锌防锈项目</w:t>
      </w:r>
    </w:p>
    <w:p w14:paraId="02DBD1C8">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简体" w:cs="Times New Roman"/>
          <w:sz w:val="44"/>
          <w:szCs w:val="44"/>
          <w:lang w:val="en-US" w:eastAsia="zh-CN"/>
        </w:rPr>
      </w:pPr>
      <w:r>
        <w:rPr>
          <w:rFonts w:hint="eastAsia" w:eastAsia="方正小标宋简体" w:cs="Times New Roman"/>
          <w:color w:val="auto"/>
          <w:spacing w:val="-20"/>
          <w:sz w:val="44"/>
          <w:szCs w:val="44"/>
          <w:lang w:val="en-US" w:eastAsia="zh-CN"/>
        </w:rPr>
        <w:t>环境影响报告表</w:t>
      </w:r>
      <w:r>
        <w:rPr>
          <w:rFonts w:hint="default" w:ascii="Times New Roman" w:hAnsi="Times New Roman" w:eastAsia="方正小标宋简体" w:cs="Times New Roman"/>
          <w:sz w:val="44"/>
          <w:szCs w:val="44"/>
          <w:lang w:val="en-US" w:eastAsia="zh-CN"/>
        </w:rPr>
        <w:t>的批复</w:t>
      </w:r>
    </w:p>
    <w:p w14:paraId="125788F1">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仿宋_GB2312" w:cs="Times New Roman"/>
          <w:sz w:val="32"/>
          <w:szCs w:val="32"/>
        </w:rPr>
      </w:pPr>
    </w:p>
    <w:p w14:paraId="2EE033C2">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乌鲁木齐坚铸</w:t>
      </w:r>
      <w:r>
        <w:rPr>
          <w:rFonts w:hint="eastAsia" w:eastAsia="仿宋_GB2312" w:cs="Times New Roman"/>
          <w:sz w:val="32"/>
          <w:szCs w:val="32"/>
          <w:lang w:val="en-US" w:eastAsia="zh-CN"/>
        </w:rPr>
        <w:t>金属</w:t>
      </w:r>
      <w:r>
        <w:rPr>
          <w:rFonts w:hint="default" w:ascii="Times New Roman" w:hAnsi="Times New Roman" w:eastAsia="仿宋_GB2312" w:cs="Times New Roman"/>
          <w:sz w:val="32"/>
          <w:szCs w:val="32"/>
          <w:lang w:val="en-US" w:eastAsia="zh-CN"/>
        </w:rPr>
        <w:t>材料有限公司：</w:t>
      </w:r>
    </w:p>
    <w:p w14:paraId="09ECE3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你单位报送的由乌鲁木齐市蓝白丽景环评咨询服务有限公司编制的《乌鲁木齐坚铸材料有限公司年处理15000吨圆钢角钢镀锌防锈项目环境影响报告表》（以下简称《报告表》）收悉。根据《中华人民共和国行政许可法》第三十八条第一款、《中华人民共和国环境影响评价法》第二十二条第三款，经审查，现批复如下</w:t>
      </w:r>
      <w:r>
        <w:rPr>
          <w:rFonts w:hint="eastAsia" w:eastAsia="仿宋_GB2312" w:cs="Times New Roman"/>
          <w:color w:val="auto"/>
          <w:sz w:val="32"/>
          <w:szCs w:val="32"/>
          <w:lang w:val="en-US" w:eastAsia="zh-CN"/>
        </w:rPr>
        <w:t>：</w:t>
      </w:r>
    </w:p>
    <w:p w14:paraId="1D2F44C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auto"/>
          <w:sz w:val="32"/>
          <w:szCs w:val="32"/>
          <w:lang w:val="en-US" w:eastAsia="zh-CN"/>
        </w:rPr>
        <w:t>一、</w:t>
      </w:r>
      <w:r>
        <w:rPr>
          <w:rFonts w:hint="default" w:ascii="Times New Roman" w:hAnsi="Times New Roman" w:eastAsia="仿宋_GB2312" w:cs="Times New Roman"/>
          <w:sz w:val="32"/>
          <w:szCs w:val="32"/>
          <w:highlight w:val="none"/>
        </w:rPr>
        <w:t>项目位于</w:t>
      </w:r>
      <w:r>
        <w:rPr>
          <w:rFonts w:hint="default" w:ascii="Times New Roman" w:hAnsi="Times New Roman" w:eastAsia="仿宋_GB2312" w:cs="Times New Roman"/>
          <w:sz w:val="32"/>
          <w:szCs w:val="32"/>
          <w:highlight w:val="none"/>
          <w:lang w:val="en-US" w:eastAsia="zh-CN"/>
        </w:rPr>
        <w:t>新疆乌鲁木齐市（第十二师）经济技术开发区（头屯河区）三坪农场三坪东街85号8栋厂房</w:t>
      </w:r>
      <w:r>
        <w:rPr>
          <w:rFonts w:hint="eastAsia" w:eastAsia="仿宋_GB2312" w:cs="Times New Roman"/>
          <w:sz w:val="32"/>
          <w:szCs w:val="32"/>
          <w:highlight w:val="none"/>
          <w:lang w:val="en-US" w:eastAsia="zh-CN"/>
        </w:rPr>
        <w:t>。</w:t>
      </w:r>
      <w:r>
        <w:rPr>
          <w:rFonts w:hint="default" w:ascii="Times New Roman" w:hAnsi="Times New Roman" w:eastAsia="仿宋_GB2312" w:cs="Times New Roman"/>
          <w:bCs/>
          <w:color w:val="auto"/>
          <w:sz w:val="32"/>
          <w:szCs w:val="32"/>
          <w:u w:val="none" w:color="auto"/>
        </w:rPr>
        <w:t>中心地理坐</w:t>
      </w:r>
      <w:r>
        <w:rPr>
          <w:rFonts w:hint="default" w:ascii="Times New Roman" w:hAnsi="Times New Roman" w:eastAsia="仿宋_GB2312" w:cs="Times New Roman"/>
          <w:sz w:val="32"/>
          <w:szCs w:val="32"/>
          <w:highlight w:val="none"/>
        </w:rPr>
        <w:t>标为东经87°24'23.727"，北纬43°55'12.099"。项目区北侧为厂区内</w:t>
      </w:r>
      <w:r>
        <w:rPr>
          <w:rFonts w:hint="default" w:ascii="Times New Roman" w:hAnsi="Times New Roman" w:eastAsia="仿宋_GB2312" w:cs="Times New Roman"/>
          <w:sz w:val="32"/>
          <w:szCs w:val="32"/>
          <w:highlight w:val="none"/>
          <w:lang w:val="en-US" w:eastAsia="zh-CN"/>
        </w:rPr>
        <w:t>9号厂房</w:t>
      </w:r>
      <w:r>
        <w:rPr>
          <w:rFonts w:hint="default" w:ascii="Times New Roman" w:hAnsi="Times New Roman" w:eastAsia="仿宋_GB2312" w:cs="Times New Roman"/>
          <w:sz w:val="32"/>
          <w:szCs w:val="32"/>
          <w:highlight w:val="none"/>
        </w:rPr>
        <w:t>、南侧为</w:t>
      </w:r>
      <w:r>
        <w:rPr>
          <w:rFonts w:hint="default" w:ascii="Times New Roman" w:hAnsi="Times New Roman" w:eastAsia="仿宋_GB2312" w:cs="Times New Roman"/>
          <w:sz w:val="32"/>
          <w:szCs w:val="32"/>
          <w:highlight w:val="none"/>
          <w:lang w:eastAsia="zh-CN"/>
        </w:rPr>
        <w:t>三坪大道，</w:t>
      </w:r>
      <w:r>
        <w:rPr>
          <w:rFonts w:hint="default" w:ascii="Times New Roman" w:hAnsi="Times New Roman" w:eastAsia="仿宋_GB2312" w:cs="Times New Roman"/>
          <w:sz w:val="32"/>
          <w:szCs w:val="32"/>
          <w:highlight w:val="none"/>
          <w:lang w:val="en-US" w:eastAsia="zh-CN"/>
        </w:rPr>
        <w:t>西侧为新疆希德瑞特种门科技有限公司，</w:t>
      </w:r>
      <w:r>
        <w:rPr>
          <w:rFonts w:hint="default" w:ascii="Times New Roman" w:hAnsi="Times New Roman" w:eastAsia="仿宋_GB2312" w:cs="Times New Roman"/>
          <w:sz w:val="32"/>
          <w:szCs w:val="32"/>
          <w:highlight w:val="none"/>
        </w:rPr>
        <w:t>东侧为头屯河公路。</w:t>
      </w:r>
    </w:p>
    <w:p w14:paraId="119A29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highlight w:val="none"/>
          <w:lang w:val="en-US" w:eastAsia="zh-CN"/>
        </w:rPr>
        <w:t>建设内容</w:t>
      </w:r>
      <w:r>
        <w:rPr>
          <w:rFonts w:hint="default" w:ascii="Times New Roman" w:hAnsi="Times New Roman" w:eastAsia="仿宋_GB2312" w:cs="Times New Roman"/>
          <w:color w:val="auto"/>
          <w:sz w:val="32"/>
          <w:szCs w:val="32"/>
          <w:lang w:val="en-US" w:eastAsia="zh-CN"/>
        </w:rPr>
        <w:t>：项目总占地面积1660平方米</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租赁新疆鑫合宏原环保科技有限公司已建成厂房。主要建设内容为1座生产车间，车间内建设1条年产7500吨角钢喷涂线、1条年产7500吨圆钢喷涂线、喷漆房、隧道通过式烤箱、原料及成品堆放区等。建成后年处理15000吨圆钢角钢镀锌防锈。</w:t>
      </w:r>
    </w:p>
    <w:p w14:paraId="061EFAE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项目总投资</w:t>
      </w:r>
      <w:r>
        <w:rPr>
          <w:rFonts w:hint="eastAsia" w:eastAsia="仿宋_GB2312" w:cs="Times New Roman"/>
          <w:color w:val="auto"/>
          <w:sz w:val="32"/>
          <w:szCs w:val="32"/>
          <w:lang w:val="en-US" w:eastAsia="zh-CN"/>
        </w:rPr>
        <w:t>700</w:t>
      </w:r>
      <w:r>
        <w:rPr>
          <w:rFonts w:hint="default" w:ascii="Times New Roman" w:hAnsi="Times New Roman" w:eastAsia="仿宋_GB2312" w:cs="Times New Roman"/>
          <w:color w:val="auto"/>
          <w:sz w:val="32"/>
          <w:szCs w:val="32"/>
          <w:lang w:val="en-US" w:eastAsia="zh-CN"/>
        </w:rPr>
        <w:t>万元，其中环保投资</w:t>
      </w:r>
      <w:r>
        <w:rPr>
          <w:rFonts w:hint="eastAsia" w:eastAsia="仿宋_GB2312" w:cs="Times New Roman"/>
          <w:color w:val="auto"/>
          <w:sz w:val="32"/>
          <w:szCs w:val="32"/>
          <w:lang w:val="en-US" w:eastAsia="zh-CN"/>
        </w:rPr>
        <w:t>47</w:t>
      </w:r>
      <w:r>
        <w:rPr>
          <w:rFonts w:hint="default" w:ascii="Times New Roman" w:hAnsi="Times New Roman" w:eastAsia="仿宋_GB2312" w:cs="Times New Roman"/>
          <w:color w:val="auto"/>
          <w:sz w:val="32"/>
          <w:szCs w:val="32"/>
          <w:lang w:val="en-US" w:eastAsia="zh-CN"/>
        </w:rPr>
        <w:t>万元。</w:t>
      </w:r>
    </w:p>
    <w:p w14:paraId="485685D9">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现状评价结论</w:t>
      </w:r>
    </w:p>
    <w:p w14:paraId="7A8720DD">
      <w:pPr>
        <w:pStyle w:val="5"/>
        <w:keepNext w:val="0"/>
        <w:keepLines w:val="0"/>
        <w:pageBreakBefore w:val="0"/>
        <w:numPr>
          <w:ilvl w:val="0"/>
          <w:numId w:val="0"/>
        </w:numPr>
        <w:kinsoku/>
        <w:wordWrap/>
        <w:overflowPunct/>
        <w:topLinePunct w:val="0"/>
        <w:bidi w:val="0"/>
        <w:spacing w:line="560" w:lineRule="exact"/>
        <w:ind w:firstLine="640" w:firstLineChars="200"/>
        <w:rPr>
          <w:rStyle w:val="23"/>
          <w:rFonts w:hint="default" w:ascii="Times New Roman" w:hAnsi="Times New Roman" w:eastAsia="仿宋_GB2312" w:cs="Times New Roman"/>
          <w:b w:val="0"/>
          <w:i w:val="0"/>
          <w:caps w:val="0"/>
          <w:color w:val="000000"/>
          <w:spacing w:val="0"/>
          <w:w w:val="100"/>
          <w:kern w:val="2"/>
          <w:sz w:val="32"/>
          <w:szCs w:val="32"/>
          <w:lang w:val="en-US" w:eastAsia="zh-CN" w:bidi="ar-SA"/>
        </w:rPr>
      </w:pPr>
      <w:r>
        <w:rPr>
          <w:rStyle w:val="23"/>
          <w:rFonts w:hint="default" w:ascii="Times New Roman" w:hAnsi="Times New Roman" w:eastAsia="仿宋_GB2312" w:cs="Times New Roman"/>
          <w:b w:val="0"/>
          <w:i w:val="0"/>
          <w:caps w:val="0"/>
          <w:color w:val="000000"/>
          <w:spacing w:val="0"/>
          <w:w w:val="100"/>
          <w:kern w:val="2"/>
          <w:sz w:val="32"/>
          <w:szCs w:val="32"/>
          <w:lang w:val="en-US" w:eastAsia="zh-CN" w:bidi="ar-SA"/>
        </w:rPr>
        <w:t>《报告表》表明：本项目产生的废水、废气、固废及噪声采取污染防治措施后，有组织废气能够得到有效治理，主要污染物能够按照现行标准达标排放。在全面落实《报告表》提出的各项污染防治措施的前提下，该项目是可行的。</w:t>
      </w:r>
    </w:p>
    <w:p w14:paraId="73FAC2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w:t>
      </w:r>
      <w:r>
        <w:rPr>
          <w:rStyle w:val="23"/>
          <w:rFonts w:hint="default" w:ascii="Times New Roman" w:hAnsi="Times New Roman" w:eastAsia="仿宋_GB2312" w:cs="Times New Roman"/>
          <w:b w:val="0"/>
          <w:i w:val="0"/>
          <w:caps w:val="0"/>
          <w:color w:val="000000"/>
          <w:spacing w:val="0"/>
          <w:w w:val="100"/>
          <w:kern w:val="2"/>
          <w:sz w:val="32"/>
          <w:szCs w:val="32"/>
          <w:lang w:val="en-US" w:eastAsia="zh-CN" w:bidi="ar-SA"/>
        </w:rPr>
        <w:t>保留运行要求。</w:t>
      </w:r>
    </w:p>
    <w:p w14:paraId="19F25E13">
      <w:pPr>
        <w:pStyle w:val="25"/>
        <w:keepNext w:val="0"/>
        <w:keepLines w:val="0"/>
        <w:pageBreakBefore w:val="0"/>
        <w:numPr>
          <w:ilvl w:val="0"/>
          <w:numId w:val="0"/>
        </w:numPr>
        <w:pBdr>
          <w:top w:val="none" w:color="auto" w:sz="0" w:space="0"/>
          <w:left w:val="none" w:color="auto" w:sz="0" w:space="0"/>
          <w:bottom w:val="none" w:color="auto" w:sz="0" w:space="0"/>
          <w:right w:val="none" w:color="auto" w:sz="0" w:space="0"/>
        </w:pBdr>
        <w:kinsoku/>
        <w:wordWrap/>
        <w:overflowPunct/>
        <w:topLinePunct w:val="0"/>
        <w:bidi w:val="0"/>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（一）落实废气污染防治措施。圆钢喷锌过程会产生一定量的颗粒物，喷锌房负压密闭收集处理后</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经</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布袋除尘器</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处理后，由15米高排气筒（DA001）排放，颗粒物满足《大气污染物综合排放标准》</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GB16297-1996</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角钢打磨工序会产生一定量的粉尘（颗粒物），打磨机自带旋风除尘+脉冲滤筒除尘器，处理后废气由15米高排气筒（DA002）排放，颗粒物满足《大气污染物综合排放标准》（GB16297-1996）。喷漆使用水性漆，其年用量7吨，全密闭喷漆；喷漆完成后的工件转至密闭的烤箱和固化烘道进行固化烘干，烘干使用天然气作为燃料，采用低氮燃烧工艺。喷漆和烘干废气中主要污染物为非甲烷总烃、颗粒物、二氧化硫和氮氧化物。喷漆和烘干废气经密闭管道收集后输送至过滤棉+活性炭吸附+脱附+催化燃烧装置，处理后经15米高排气筒（DA003）排放；有组织排放废气中非甲烷总烃满足《大气污染物综合排放标准》（GB16297-1996）；颗粒物、二氧化硫和氮氧化物满足《兵团工业炉窑大气污染综合治理实施方案》</w:t>
      </w:r>
      <w:r>
        <w:rPr>
          <w:rFonts w:hint="eastAsia" w:eastAsia="仿宋_GB2312" w:cs="Times New Roman"/>
          <w:color w:val="auto"/>
          <w:sz w:val="32"/>
          <w:szCs w:val="32"/>
          <w:lang w:val="en-US" w:eastAsia="zh-CN"/>
        </w:rPr>
        <w:t>标准限值</w:t>
      </w:r>
      <w:r>
        <w:rPr>
          <w:rFonts w:hint="default" w:ascii="Times New Roman" w:hAnsi="Times New Roman" w:eastAsia="仿宋_GB2312" w:cs="Times New Roman"/>
          <w:color w:val="auto"/>
          <w:sz w:val="32"/>
          <w:szCs w:val="32"/>
          <w:lang w:val="en-US" w:eastAsia="zh-CN"/>
        </w:rPr>
        <w:t>。</w:t>
      </w:r>
    </w:p>
    <w:p w14:paraId="67AC3842">
      <w:pPr>
        <w:pStyle w:val="25"/>
        <w:keepNext w:val="0"/>
        <w:keepLines w:val="0"/>
        <w:pageBreakBefore w:val="0"/>
        <w:numPr>
          <w:ilvl w:val="0"/>
          <w:numId w:val="0"/>
        </w:numPr>
        <w:pBdr>
          <w:top w:val="none" w:color="auto" w:sz="0" w:space="0"/>
          <w:left w:val="none" w:color="auto" w:sz="0" w:space="0"/>
          <w:bottom w:val="none" w:color="auto" w:sz="0" w:space="0"/>
          <w:right w:val="none" w:color="auto" w:sz="0" w:space="0"/>
        </w:pBdr>
        <w:kinsoku/>
        <w:wordWrap/>
        <w:overflowPunct/>
        <w:topLinePunct w:val="0"/>
        <w:bidi w:val="0"/>
        <w:spacing w:line="560" w:lineRule="exact"/>
        <w:ind w:firstLine="640" w:firstLineChars="0"/>
        <w:rPr>
          <w:rFonts w:hint="eastAsia" w:ascii="Times New Roman" w:hAnsi="Times New Roman" w:eastAsia="仿宋_GB2312" w:cs="Times New Roman"/>
          <w:color w:val="auto"/>
          <w:kern w:val="2"/>
          <w:sz w:val="32"/>
          <w:szCs w:val="32"/>
          <w:u w:color="000000"/>
          <w:lang w:val="en-US" w:eastAsia="zh-CN" w:bidi="ar-SA"/>
        </w:rPr>
      </w:pPr>
      <w:r>
        <w:rPr>
          <w:rFonts w:hint="eastAsia" w:ascii="Times New Roman" w:hAnsi="Times New Roman" w:eastAsia="仿宋_GB2312" w:cs="Times New Roman"/>
          <w:color w:val="auto"/>
          <w:kern w:val="2"/>
          <w:sz w:val="32"/>
          <w:szCs w:val="32"/>
          <w:u w:color="000000"/>
          <w:lang w:val="en-US" w:eastAsia="zh-CN" w:bidi="ar-SA"/>
        </w:rPr>
        <w:t>本项目主要无组织废气为喷锌、打磨过程未收集到的颗粒物，喷涂和烘干过程散逸的挥发性有机物和颗粒物，厂区</w:t>
      </w:r>
      <w:r>
        <w:rPr>
          <w:rFonts w:hint="eastAsia" w:eastAsia="仿宋_GB2312" w:cs="Times New Roman"/>
          <w:color w:val="auto"/>
          <w:kern w:val="2"/>
          <w:sz w:val="32"/>
          <w:szCs w:val="32"/>
          <w:u w:color="000000"/>
          <w:lang w:val="en-US" w:eastAsia="zh-CN" w:bidi="ar-SA"/>
        </w:rPr>
        <w:t>内</w:t>
      </w:r>
      <w:r>
        <w:rPr>
          <w:rFonts w:hint="eastAsia" w:ascii="Times New Roman" w:hAnsi="Times New Roman" w:eastAsia="仿宋_GB2312" w:cs="Times New Roman"/>
          <w:color w:val="auto"/>
          <w:kern w:val="2"/>
          <w:sz w:val="32"/>
          <w:szCs w:val="32"/>
          <w:u w:color="000000"/>
          <w:lang w:val="en-US" w:eastAsia="zh-CN" w:bidi="ar-SA"/>
        </w:rPr>
        <w:t>非甲烷总烃排放满足《挥发性有机物无组织排放控制标准》（GB37822-2019）中特别排放限值，厂界颗粒物、非甲烷总烃排放满足《大气污染物综合排放标准》（GB16297-1996）</w:t>
      </w:r>
      <w:r>
        <w:rPr>
          <w:rFonts w:hint="eastAsia" w:eastAsia="仿宋_GB2312" w:cs="Times New Roman"/>
          <w:color w:val="auto"/>
          <w:kern w:val="2"/>
          <w:sz w:val="32"/>
          <w:szCs w:val="32"/>
          <w:u w:color="000000"/>
          <w:lang w:val="en-US" w:eastAsia="zh-CN" w:bidi="ar-SA"/>
        </w:rPr>
        <w:t>限值</w:t>
      </w:r>
      <w:r>
        <w:rPr>
          <w:rFonts w:hint="eastAsia" w:ascii="Times New Roman" w:hAnsi="Times New Roman" w:eastAsia="仿宋_GB2312" w:cs="Times New Roman"/>
          <w:color w:val="auto"/>
          <w:kern w:val="2"/>
          <w:sz w:val="32"/>
          <w:szCs w:val="32"/>
          <w:u w:color="000000"/>
          <w:lang w:val="en-US" w:eastAsia="zh-CN" w:bidi="ar-SA"/>
        </w:rPr>
        <w:t>。</w:t>
      </w:r>
    </w:p>
    <w:p w14:paraId="43BB2F95">
      <w:pPr>
        <w:pStyle w:val="25"/>
        <w:keepNext w:val="0"/>
        <w:keepLines w:val="0"/>
        <w:pageBreakBefore w:val="0"/>
        <w:numPr>
          <w:ilvl w:val="0"/>
          <w:numId w:val="0"/>
        </w:numPr>
        <w:pBdr>
          <w:top w:val="none" w:color="auto" w:sz="0" w:space="0"/>
          <w:left w:val="none" w:color="auto" w:sz="0" w:space="0"/>
          <w:bottom w:val="none" w:color="auto" w:sz="0" w:space="0"/>
          <w:right w:val="none" w:color="auto" w:sz="0" w:space="0"/>
        </w:pBdr>
        <w:kinsoku/>
        <w:wordWrap/>
        <w:overflowPunct/>
        <w:topLinePunct w:val="0"/>
        <w:bidi w:val="0"/>
        <w:spacing w:line="560" w:lineRule="exact"/>
        <w:ind w:firstLine="640" w:firstLineChars="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kern w:val="2"/>
          <w:sz w:val="32"/>
          <w:szCs w:val="32"/>
          <w:u w:color="000000"/>
          <w:lang w:val="en-US" w:eastAsia="zh-CN" w:bidi="ar-SA"/>
        </w:rPr>
        <w:t>（二）</w:t>
      </w:r>
      <w:r>
        <w:rPr>
          <w:rFonts w:hint="default" w:ascii="Times New Roman" w:hAnsi="Times New Roman" w:eastAsia="仿宋_GB2312" w:cs="Times New Roman"/>
          <w:color w:val="auto"/>
          <w:sz w:val="32"/>
          <w:szCs w:val="32"/>
          <w:lang w:val="en-US" w:eastAsia="zh-CN"/>
        </w:rPr>
        <w:t>落实废水污染防治措施。本项目运营期生产用水主要为冷却系统补充用水，不外排。生活污水水质简单，可满足《污水综合排放标准》（GB8978-1996）表4中三级排放标准，经园区污水管网排入五一新镇污水处理厂</w:t>
      </w:r>
      <w:r>
        <w:rPr>
          <w:rFonts w:hint="eastAsia" w:eastAsia="仿宋_GB2312" w:cs="Times New Roman"/>
          <w:color w:val="auto"/>
          <w:sz w:val="32"/>
          <w:szCs w:val="32"/>
          <w:lang w:val="en-US" w:eastAsia="zh-CN"/>
        </w:rPr>
        <w:t>处理</w:t>
      </w:r>
      <w:r>
        <w:rPr>
          <w:rFonts w:hint="default" w:ascii="Times New Roman" w:hAnsi="Times New Roman" w:eastAsia="仿宋_GB2312" w:cs="Times New Roman"/>
          <w:color w:val="auto"/>
          <w:sz w:val="32"/>
          <w:szCs w:val="32"/>
          <w:lang w:val="en-US" w:eastAsia="zh-CN"/>
        </w:rPr>
        <w:t>。</w:t>
      </w:r>
    </w:p>
    <w:p w14:paraId="31648570">
      <w:pPr>
        <w:pStyle w:val="25"/>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bidi w:val="0"/>
        <w:spacing w:line="560" w:lineRule="exact"/>
        <w:ind w:firstLine="640"/>
        <w:rPr>
          <w:rFonts w:hint="default" w:ascii="Times New Roman" w:hAnsi="Times New Roman" w:eastAsia="仿宋_GB2312" w:cs="Times New Roman"/>
          <w:spacing w:val="0"/>
          <w:sz w:val="32"/>
          <w:szCs w:val="32"/>
          <w:u w:val="none" w:color="000000"/>
          <w:lang w:val="en-US" w:eastAsia="zh-CN"/>
        </w:rPr>
      </w:pPr>
      <w:r>
        <w:rPr>
          <w:rFonts w:hint="default" w:ascii="Times New Roman" w:hAnsi="Times New Roman" w:eastAsia="仿宋_GB2312" w:cs="Times New Roman"/>
          <w:color w:val="auto"/>
          <w:sz w:val="32"/>
          <w:szCs w:val="32"/>
          <w:lang w:val="en-US" w:eastAsia="zh-CN"/>
        </w:rPr>
        <w:t>（三）</w:t>
      </w:r>
      <w:r>
        <w:rPr>
          <w:rFonts w:hint="default" w:ascii="Times New Roman" w:hAnsi="Times New Roman" w:eastAsia="仿宋_GB2312" w:cs="Times New Roman"/>
          <w:spacing w:val="0"/>
          <w:sz w:val="32"/>
          <w:szCs w:val="32"/>
          <w:u w:val="none" w:color="000000"/>
          <w:lang w:val="en-US" w:eastAsia="zh-CN"/>
        </w:rPr>
        <w:t>落实噪声污染防治措施。运营期噪声源主要为打磨机、喷枪、传送链条等设备运行的噪声。产噪设备均在厂房内布置，采取减震、隔声等措施。满足《工业企业厂界环境噪声排放标准》（GB12348-2008）3类标准要求。</w:t>
      </w:r>
    </w:p>
    <w:p w14:paraId="20F6B68B">
      <w:pPr>
        <w:pStyle w:val="25"/>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bidi w:val="0"/>
        <w:spacing w:line="560" w:lineRule="exact"/>
        <w:ind w:firstLine="640"/>
        <w:rPr>
          <w:rFonts w:hint="default" w:ascii="Times New Roman" w:hAnsi="Times New Roman" w:eastAsia="仿宋_GB2312" w:cs="Times New Roman"/>
          <w:bCs/>
          <w:color w:val="auto"/>
          <w:sz w:val="32"/>
          <w:szCs w:val="32"/>
          <w:u w:val="none" w:color="auto"/>
          <w:lang w:val="en-US" w:eastAsia="zh-CN"/>
        </w:rPr>
      </w:pPr>
      <w:r>
        <w:rPr>
          <w:rFonts w:hint="default" w:ascii="Times New Roman" w:hAnsi="Times New Roman" w:eastAsia="仿宋_GB2312" w:cs="Times New Roman"/>
          <w:color w:val="auto"/>
          <w:sz w:val="32"/>
          <w:szCs w:val="32"/>
          <w:lang w:val="en-US" w:eastAsia="zh-CN"/>
        </w:rPr>
        <w:t>（四）落实固废污染防治措施。</w:t>
      </w:r>
      <w:r>
        <w:rPr>
          <w:rFonts w:hint="default" w:ascii="Times New Roman" w:hAnsi="Times New Roman" w:eastAsia="仿宋_GB2312" w:cs="Times New Roman"/>
          <w:sz w:val="32"/>
          <w:szCs w:val="32"/>
        </w:rPr>
        <w:t>运营期</w:t>
      </w:r>
      <w:r>
        <w:rPr>
          <w:rFonts w:hint="default" w:ascii="Times New Roman" w:hAnsi="Times New Roman" w:eastAsia="仿宋_GB2312" w:cs="Times New Roman"/>
          <w:sz w:val="32"/>
          <w:szCs w:val="32"/>
          <w:lang w:eastAsia="zh-CN"/>
        </w:rPr>
        <w:t>主要为</w:t>
      </w:r>
      <w:r>
        <w:rPr>
          <w:rFonts w:hint="default" w:ascii="Times New Roman" w:hAnsi="Times New Roman" w:eastAsia="仿宋_GB2312" w:cs="Times New Roman"/>
          <w:bCs/>
          <w:color w:val="auto"/>
          <w:sz w:val="32"/>
          <w:szCs w:val="32"/>
          <w:u w:val="none" w:color="auto"/>
        </w:rPr>
        <w:t>一般工业固废、危险废物和生活垃圾。</w:t>
      </w:r>
      <w:r>
        <w:rPr>
          <w:rFonts w:hint="default" w:ascii="Times New Roman" w:hAnsi="Times New Roman" w:eastAsia="仿宋_GB2312" w:cs="Times New Roman"/>
          <w:bCs/>
          <w:color w:val="auto"/>
          <w:sz w:val="32"/>
          <w:szCs w:val="32"/>
          <w:u w:val="none" w:color="auto"/>
          <w:lang w:val="en-US" w:eastAsia="zh-CN"/>
        </w:rPr>
        <w:t>项目一般固废主要为锌粉、废布袋、边角料、磨片、磨粉和除尘器收集灰</w:t>
      </w:r>
      <w:r>
        <w:rPr>
          <w:rFonts w:hint="eastAsia" w:eastAsia="仿宋_GB2312" w:cs="Times New Roman"/>
          <w:bCs/>
          <w:color w:val="auto"/>
          <w:sz w:val="32"/>
          <w:szCs w:val="32"/>
          <w:u w:val="none" w:color="auto"/>
          <w:lang w:val="en-US" w:eastAsia="zh-CN"/>
        </w:rPr>
        <w:t>。</w:t>
      </w:r>
      <w:r>
        <w:rPr>
          <w:rFonts w:hint="default" w:ascii="Times New Roman" w:hAnsi="Times New Roman" w:eastAsia="仿宋_GB2312" w:cs="Times New Roman"/>
          <w:bCs/>
          <w:color w:val="auto"/>
          <w:sz w:val="32"/>
          <w:szCs w:val="32"/>
          <w:u w:val="none" w:color="auto"/>
          <w:lang w:val="en-US" w:eastAsia="zh-CN"/>
        </w:rPr>
        <w:t>锌粉、废布袋、边角料、磨片、磨粉</w:t>
      </w:r>
      <w:r>
        <w:rPr>
          <w:rFonts w:hint="eastAsia" w:ascii="Times New Roman" w:hAnsi="Times New Roman" w:eastAsia="仿宋_GB2312" w:cs="Times New Roman"/>
          <w:bCs/>
          <w:color w:val="auto"/>
          <w:sz w:val="32"/>
          <w:szCs w:val="32"/>
          <w:u w:val="none" w:color="auto"/>
          <w:lang w:val="en-US" w:eastAsia="zh-CN"/>
        </w:rPr>
        <w:t>收集后外售</w:t>
      </w:r>
      <w:r>
        <w:rPr>
          <w:rFonts w:hint="default" w:ascii="Times New Roman" w:hAnsi="Times New Roman" w:eastAsia="仿宋_GB2312" w:cs="Times New Roman"/>
          <w:bCs/>
          <w:color w:val="auto"/>
          <w:sz w:val="32"/>
          <w:szCs w:val="32"/>
          <w:u w:val="none" w:color="auto"/>
          <w:lang w:val="en-US" w:eastAsia="zh-CN"/>
        </w:rPr>
        <w:t>。除尘器收集灰</w:t>
      </w:r>
      <w:r>
        <w:rPr>
          <w:rFonts w:hint="eastAsia" w:ascii="Times New Roman" w:hAnsi="Times New Roman" w:eastAsia="仿宋_GB2312" w:cs="Times New Roman"/>
          <w:bCs/>
          <w:color w:val="auto"/>
          <w:sz w:val="32"/>
          <w:szCs w:val="32"/>
          <w:u w:val="none" w:color="auto"/>
          <w:lang w:val="en-US" w:eastAsia="zh-CN"/>
        </w:rPr>
        <w:t>回收再利用。</w:t>
      </w:r>
      <w:r>
        <w:rPr>
          <w:rFonts w:hint="eastAsia" w:eastAsia="仿宋_GB2312" w:cs="Times New Roman"/>
          <w:bCs/>
          <w:color w:val="auto"/>
          <w:sz w:val="32"/>
          <w:szCs w:val="32"/>
          <w:u w:val="none" w:color="auto"/>
          <w:lang w:val="en-US" w:eastAsia="zh-CN"/>
        </w:rPr>
        <w:t>生活垃圾集中收集后委托当地环卫部门统一清运。</w:t>
      </w:r>
    </w:p>
    <w:p w14:paraId="28BA2041">
      <w:pPr>
        <w:pStyle w:val="13"/>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废活性炭（900-039-49）、废润滑油（900-21</w:t>
      </w:r>
      <w:r>
        <w:rPr>
          <w:rFonts w:hint="eastAsia" w:eastAsia="仿宋_GB2312" w:cs="Times New Roman"/>
          <w:color w:val="auto"/>
          <w:kern w:val="2"/>
          <w:sz w:val="32"/>
          <w:szCs w:val="32"/>
          <w:lang w:val="en-US" w:eastAsia="zh-CN" w:bidi="ar-SA"/>
        </w:rPr>
        <w:t>4</w:t>
      </w:r>
      <w:r>
        <w:rPr>
          <w:rFonts w:hint="default" w:ascii="Times New Roman" w:hAnsi="Times New Roman" w:eastAsia="仿宋_GB2312" w:cs="Times New Roman"/>
          <w:color w:val="auto"/>
          <w:kern w:val="2"/>
          <w:sz w:val="32"/>
          <w:szCs w:val="32"/>
          <w:lang w:val="en-US" w:eastAsia="zh-CN" w:bidi="ar-SA"/>
        </w:rPr>
        <w:t>-08）、废催化剂（900-049-50）、废过滤棉（900-039-49）为危险废物，分类收集，在危废暂存间内暂存，定期交由有资质单位处理。危废暂存间建设须满足《危险废物贮存污染控制标准》（GB18597-2023）要求。</w:t>
      </w:r>
    </w:p>
    <w:p w14:paraId="7A8E25FB">
      <w:pPr>
        <w:pStyle w:val="13"/>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（五）建立畅通的公众参与途径，主动接受社会监督，及时回应和解决公众关切的环境问题，切实维护公众合法的环境权益。</w:t>
      </w:r>
    </w:p>
    <w:p w14:paraId="6F8225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四、项目建设应严格执行环境保护设施与主体工程同时设计、同时施工、同时投产使用的环境保护“三同时”制度，规范设置污染物排放口标志标识，落实各项环保措施。</w:t>
      </w:r>
    </w:p>
    <w:p w14:paraId="6FB6A2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本项目主要污染物排放总量指标VOC</w:t>
      </w:r>
      <w:r>
        <w:rPr>
          <w:rFonts w:hint="default" w:ascii="Times New Roman" w:hAnsi="Times New Roman" w:eastAsia="仿宋_GB2312" w:cs="Times New Roman"/>
          <w:color w:val="auto"/>
          <w:sz w:val="32"/>
          <w:szCs w:val="32"/>
          <w:vertAlign w:val="subscript"/>
          <w:lang w:val="en-US" w:eastAsia="zh-CN"/>
        </w:rPr>
        <w:t>S</w:t>
      </w:r>
      <w:r>
        <w:rPr>
          <w:rFonts w:hint="default" w:ascii="Times New Roman" w:hAnsi="Times New Roman" w:eastAsia="仿宋_GB2312" w:cs="Times New Roman"/>
          <w:color w:val="auto"/>
          <w:sz w:val="32"/>
          <w:szCs w:val="32"/>
          <w:lang w:val="en-US" w:eastAsia="zh-CN"/>
        </w:rPr>
        <w:t>为0.05吨/年，氮氧化物为1.07吨/年；倍量替代量为VOC</w:t>
      </w:r>
      <w:r>
        <w:rPr>
          <w:rFonts w:hint="default" w:ascii="Times New Roman" w:hAnsi="Times New Roman" w:eastAsia="仿宋_GB2312" w:cs="Times New Roman"/>
          <w:color w:val="auto"/>
          <w:sz w:val="32"/>
          <w:szCs w:val="32"/>
          <w:vertAlign w:val="subscript"/>
          <w:lang w:val="en-US" w:eastAsia="zh-CN"/>
        </w:rPr>
        <w:t>S</w:t>
      </w:r>
      <w:r>
        <w:rPr>
          <w:rFonts w:hint="eastAsia" w:eastAsia="仿宋_GB2312" w:cs="Times New Roman"/>
          <w:color w:val="auto"/>
          <w:sz w:val="32"/>
          <w:szCs w:val="32"/>
          <w:vertAlign w:val="baseline"/>
          <w:lang w:val="en-US" w:eastAsia="zh-CN"/>
        </w:rPr>
        <w:t>为</w:t>
      </w:r>
      <w:r>
        <w:rPr>
          <w:rFonts w:hint="default" w:ascii="Times New Roman" w:hAnsi="Times New Roman" w:eastAsia="仿宋_GB2312" w:cs="Times New Roman"/>
          <w:color w:val="auto"/>
          <w:sz w:val="32"/>
          <w:szCs w:val="32"/>
          <w:lang w:val="en-US" w:eastAsia="zh-CN"/>
        </w:rPr>
        <w:t>0.10吨/年，氮氧化物</w:t>
      </w:r>
      <w:r>
        <w:rPr>
          <w:rFonts w:hint="eastAsia" w:eastAsia="仿宋_GB2312" w:cs="Times New Roman"/>
          <w:color w:val="auto"/>
          <w:sz w:val="32"/>
          <w:szCs w:val="32"/>
          <w:lang w:val="en-US" w:eastAsia="zh-CN"/>
        </w:rPr>
        <w:t>为</w:t>
      </w:r>
      <w:r>
        <w:rPr>
          <w:rFonts w:hint="default" w:ascii="Times New Roman" w:hAnsi="Times New Roman" w:eastAsia="仿宋_GB2312" w:cs="Times New Roman"/>
          <w:color w:val="auto"/>
          <w:sz w:val="32"/>
          <w:szCs w:val="32"/>
          <w:lang w:val="en-US" w:eastAsia="zh-CN"/>
        </w:rPr>
        <w:t>2.14吨/年。</w:t>
      </w:r>
    </w:p>
    <w:p w14:paraId="3134C17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五、建设及运营单位应进一步健全和完善各项环境管理制度和运行台账，加强生产及配套环保设施的运行维护和管理，确保项目污染物稳定达标排放。</w:t>
      </w:r>
    </w:p>
    <w:p w14:paraId="55099C3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对环境污染防治设施依法依规开展安全评价、评估和事故隐患排查治理，并按规定报安全生产主管部门。编制突发环境事件应急预案，降低环境安全风险。</w:t>
      </w:r>
    </w:p>
    <w:p w14:paraId="3002F1B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六、在启动生产设施或者发生实际排污行为前，按照已批准的环境影响评价文件落实各项环境保护措施后，依法申领排污许可证。</w:t>
      </w:r>
    </w:p>
    <w:p w14:paraId="5A788A3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lang w:val="en-US" w:eastAsia="zh-CN"/>
        </w:rPr>
        <w:t>项目竣工后，建设单位应当按照规定的标准和程序，对配套建设的环境保护设施进行验收，经验收合格后方可投入运行，</w:t>
      </w:r>
      <w:r>
        <w:rPr>
          <w:rFonts w:hint="default" w:ascii="Times New Roman" w:hAnsi="Times New Roman" w:eastAsia="仿宋_GB2312" w:cs="Times New Roman"/>
          <w:bCs/>
          <w:sz w:val="32"/>
          <w:szCs w:val="32"/>
          <w:highlight w:val="none"/>
          <w:lang w:eastAsia="zh-CN"/>
        </w:rPr>
        <w:t>并</w:t>
      </w:r>
      <w:r>
        <w:rPr>
          <w:rFonts w:hint="default" w:ascii="Times New Roman" w:hAnsi="Times New Roman" w:eastAsia="仿宋_GB2312" w:cs="Times New Roman"/>
          <w:bCs/>
          <w:sz w:val="32"/>
          <w:szCs w:val="32"/>
          <w:highlight w:val="none"/>
        </w:rPr>
        <w:t>依法向社会公开环境保护设施验收报告</w:t>
      </w:r>
      <w:r>
        <w:rPr>
          <w:rFonts w:hint="default" w:ascii="Times New Roman" w:hAnsi="Times New Roman" w:eastAsia="仿宋_GB2312" w:cs="Times New Roman"/>
          <w:bCs/>
          <w:sz w:val="32"/>
          <w:szCs w:val="32"/>
          <w:highlight w:val="none"/>
          <w:lang w:eastAsia="zh-CN"/>
        </w:rPr>
        <w:t>。</w:t>
      </w:r>
    </w:p>
    <w:p w14:paraId="1BCBBBC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七、</w:t>
      </w:r>
      <w:r>
        <w:rPr>
          <w:rStyle w:val="23"/>
          <w:rFonts w:hint="default" w:ascii="Times New Roman" w:hAnsi="Times New Roman" w:eastAsia="仿宋_GB2312" w:cs="Times New Roman"/>
          <w:b w:val="0"/>
          <w:i w:val="0"/>
          <w:caps w:val="0"/>
          <w:color w:val="000000"/>
          <w:spacing w:val="0"/>
          <w:w w:val="100"/>
          <w:kern w:val="2"/>
          <w:sz w:val="32"/>
          <w:szCs w:val="32"/>
          <w:lang w:val="en-US" w:eastAsia="zh-CN" w:bidi="ar-SA"/>
        </w:rPr>
        <w:t>本批复有效期五年，项目自批复之日起五年后开工建设的，应报我局重新审核。本批复生效后，建设项目的性质、规模、地点、采用的生产工艺或者防治污染、防止生态破坏的措施发生重大变动的，应当重新报批建设项目的环境影响评价文件。</w:t>
      </w:r>
    </w:p>
    <w:p w14:paraId="4E7E596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八、十二师生态环境保护综合行政执法支队和项目所属辖区环境管理部门负责“三同时”监督检查和日常监管工作。你单位应在收到本批复20个工作日内，将批准后的环境影响报告表及批复分送以上监督管理机构，并按规定接受监督检查。</w:t>
      </w:r>
      <w:bookmarkStart w:id="0" w:name="_GoBack"/>
      <w:bookmarkEnd w:id="0"/>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5001F">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16760E">
                          <w:pPr>
                            <w:pStyle w:val="11"/>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E16760E">
                    <w:pPr>
                      <w:pStyle w:val="11"/>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D84138"/>
    <w:multiLevelType w:val="singleLevel"/>
    <w:tmpl w:val="90D84138"/>
    <w:lvl w:ilvl="0" w:tentative="0">
      <w:start w:val="2"/>
      <w:numFmt w:val="chineseCounting"/>
      <w:suff w:val="nothing"/>
      <w:lvlText w:val="%1、"/>
      <w:lvlJc w:val="left"/>
      <w:rPr>
        <w:rFonts w:hint="eastAsia"/>
      </w:rPr>
    </w:lvl>
  </w:abstractNum>
  <w:abstractNum w:abstractNumId="1">
    <w:nsid w:val="4B6B1761"/>
    <w:multiLevelType w:val="singleLevel"/>
    <w:tmpl w:val="4B6B1761"/>
    <w:lvl w:ilvl="0" w:tentative="0">
      <w:start w:val="1"/>
      <w:numFmt w:val="bullet"/>
      <w:pStyle w:val="9"/>
      <w:lvlText w:val=""/>
      <w:lvlJc w:val="left"/>
      <w:pPr>
        <w:tabs>
          <w:tab w:val="left" w:pos="2040"/>
        </w:tabs>
        <w:ind w:left="204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1NTgwMjk1NjRmYjhjZmU0NWJmZTRiNjZiZDMwOGUifQ=="/>
    <w:docVar w:name="KSO_WPS_MARK_KEY" w:val="78d1c1cb-527e-4026-8f9a-c7cbb82ce8a0"/>
  </w:docVars>
  <w:rsids>
    <w:rsidRoot w:val="209C6FB6"/>
    <w:rsid w:val="01954E03"/>
    <w:rsid w:val="01F663DD"/>
    <w:rsid w:val="0303427A"/>
    <w:rsid w:val="036B03E5"/>
    <w:rsid w:val="0418546F"/>
    <w:rsid w:val="0431202E"/>
    <w:rsid w:val="049F51EA"/>
    <w:rsid w:val="04B54A0D"/>
    <w:rsid w:val="053613BF"/>
    <w:rsid w:val="06665D0E"/>
    <w:rsid w:val="07592C22"/>
    <w:rsid w:val="076E74DB"/>
    <w:rsid w:val="07DD39B1"/>
    <w:rsid w:val="09A65D5E"/>
    <w:rsid w:val="0A300945"/>
    <w:rsid w:val="0A3D172D"/>
    <w:rsid w:val="0DC736EF"/>
    <w:rsid w:val="0E3A5F83"/>
    <w:rsid w:val="1130362F"/>
    <w:rsid w:val="12404419"/>
    <w:rsid w:val="132F6CC0"/>
    <w:rsid w:val="1483206F"/>
    <w:rsid w:val="15B71C1A"/>
    <w:rsid w:val="17712A16"/>
    <w:rsid w:val="17FD79ED"/>
    <w:rsid w:val="184A2555"/>
    <w:rsid w:val="1BA54230"/>
    <w:rsid w:val="1BDC1A17"/>
    <w:rsid w:val="1CAE56BC"/>
    <w:rsid w:val="1F6B0692"/>
    <w:rsid w:val="1F811721"/>
    <w:rsid w:val="1F8F686F"/>
    <w:rsid w:val="1FC030C2"/>
    <w:rsid w:val="20232162"/>
    <w:rsid w:val="20920B1E"/>
    <w:rsid w:val="209C6FB6"/>
    <w:rsid w:val="21EE2624"/>
    <w:rsid w:val="23D77FA4"/>
    <w:rsid w:val="24197569"/>
    <w:rsid w:val="261E020C"/>
    <w:rsid w:val="2A043D84"/>
    <w:rsid w:val="2A3D5940"/>
    <w:rsid w:val="2B230073"/>
    <w:rsid w:val="2BB20A80"/>
    <w:rsid w:val="2D473EFE"/>
    <w:rsid w:val="2E1413FF"/>
    <w:rsid w:val="2EB711FE"/>
    <w:rsid w:val="31C250C8"/>
    <w:rsid w:val="342D0001"/>
    <w:rsid w:val="35377AB9"/>
    <w:rsid w:val="35390CB7"/>
    <w:rsid w:val="36356EAC"/>
    <w:rsid w:val="37130FE3"/>
    <w:rsid w:val="378C012D"/>
    <w:rsid w:val="38421659"/>
    <w:rsid w:val="394207DB"/>
    <w:rsid w:val="3B56320E"/>
    <w:rsid w:val="3B702097"/>
    <w:rsid w:val="3C5C33E5"/>
    <w:rsid w:val="3E407CE8"/>
    <w:rsid w:val="409F2D25"/>
    <w:rsid w:val="41481ED3"/>
    <w:rsid w:val="42141B9B"/>
    <w:rsid w:val="426A7BCE"/>
    <w:rsid w:val="43611640"/>
    <w:rsid w:val="440C3582"/>
    <w:rsid w:val="448434D9"/>
    <w:rsid w:val="46C40A3A"/>
    <w:rsid w:val="47A05AAA"/>
    <w:rsid w:val="4AEF475E"/>
    <w:rsid w:val="4C935F3D"/>
    <w:rsid w:val="4CCC0113"/>
    <w:rsid w:val="4EE6170D"/>
    <w:rsid w:val="51A62C6F"/>
    <w:rsid w:val="550B1D3D"/>
    <w:rsid w:val="56466840"/>
    <w:rsid w:val="56982E14"/>
    <w:rsid w:val="57CF64EE"/>
    <w:rsid w:val="5902641E"/>
    <w:rsid w:val="5D4B0BE0"/>
    <w:rsid w:val="5D5257B9"/>
    <w:rsid w:val="5FA01104"/>
    <w:rsid w:val="61ED1CAB"/>
    <w:rsid w:val="633839B4"/>
    <w:rsid w:val="6436423C"/>
    <w:rsid w:val="646B3552"/>
    <w:rsid w:val="652303E3"/>
    <w:rsid w:val="678A222B"/>
    <w:rsid w:val="67D113D6"/>
    <w:rsid w:val="67E956CD"/>
    <w:rsid w:val="68A87B77"/>
    <w:rsid w:val="69E6594B"/>
    <w:rsid w:val="6A9A30D8"/>
    <w:rsid w:val="6B923E7E"/>
    <w:rsid w:val="6C9C3206"/>
    <w:rsid w:val="6CF32868"/>
    <w:rsid w:val="6F72024E"/>
    <w:rsid w:val="723E2669"/>
    <w:rsid w:val="743374C1"/>
    <w:rsid w:val="75114B05"/>
    <w:rsid w:val="755C6E6D"/>
    <w:rsid w:val="76123086"/>
    <w:rsid w:val="795C3C17"/>
    <w:rsid w:val="797B56E2"/>
    <w:rsid w:val="79A11E5C"/>
    <w:rsid w:val="7AAB3520"/>
    <w:rsid w:val="7AE376B8"/>
    <w:rsid w:val="7C555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3"/>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2">
    <w:name w:val="heading 2"/>
    <w:basedOn w:val="1"/>
    <w:next w:val="1"/>
    <w:qFormat/>
    <w:uiPriority w:val="0"/>
    <w:pPr>
      <w:keepNext/>
      <w:keepLines/>
      <w:outlineLvl w:val="1"/>
    </w:pPr>
    <w:rPr>
      <w:rFonts w:eastAsia="Times New Roman"/>
      <w:b/>
      <w:bCs/>
      <w:sz w:val="28"/>
      <w:szCs w:val="32"/>
    </w:rPr>
  </w:style>
  <w:style w:type="paragraph" w:styleId="3">
    <w:name w:val="heading 3"/>
    <w:basedOn w:val="1"/>
    <w:next w:val="1"/>
    <w:qFormat/>
    <w:uiPriority w:val="0"/>
    <w:pPr>
      <w:keepNext/>
      <w:keepLines/>
      <w:spacing w:line="360" w:lineRule="auto"/>
      <w:outlineLvl w:val="2"/>
    </w:pPr>
    <w:rPr>
      <w:b/>
      <w:bCs/>
      <w:sz w:val="24"/>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pPr>
  </w:style>
  <w:style w:type="paragraph" w:styleId="5">
    <w:name w:val="Body Text"/>
    <w:basedOn w:val="1"/>
    <w:next w:val="6"/>
    <w:qFormat/>
    <w:uiPriority w:val="99"/>
    <w:pPr>
      <w:autoSpaceDE w:val="0"/>
      <w:autoSpaceDN w:val="0"/>
      <w:adjustRightInd w:val="0"/>
      <w:snapToGrid w:val="0"/>
      <w:spacing w:line="580" w:lineRule="exact"/>
      <w:textAlignment w:val="baseline"/>
    </w:pPr>
    <w:rPr>
      <w:rFonts w:ascii="仿宋_GB2312" w:eastAsia="仿宋_GB2312"/>
      <w:spacing w:val="-20"/>
      <w:kern w:val="0"/>
      <w:sz w:val="32"/>
      <w:szCs w:val="20"/>
    </w:rPr>
  </w:style>
  <w:style w:type="paragraph" w:customStyle="1" w:styleId="6">
    <w:name w:val="xl2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ascii="Arial Unicode MS" w:hAnsi="Arial Unicode MS" w:eastAsia="Arial Unicode MS" w:cs="Arial Unicode MS"/>
      <w:sz w:val="18"/>
      <w:szCs w:val="18"/>
    </w:rPr>
  </w:style>
  <w:style w:type="paragraph" w:styleId="7">
    <w:name w:val="Body Text Indent"/>
    <w:basedOn w:val="1"/>
    <w:next w:val="8"/>
    <w:qFormat/>
    <w:uiPriority w:val="0"/>
    <w:pPr>
      <w:spacing w:after="120" w:afterLines="0" w:afterAutospacing="0"/>
      <w:ind w:left="420" w:leftChars="200"/>
    </w:pPr>
  </w:style>
  <w:style w:type="paragraph" w:styleId="8">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List Bullet 5"/>
    <w:basedOn w:val="1"/>
    <w:qFormat/>
    <w:uiPriority w:val="0"/>
    <w:pPr>
      <w:numPr>
        <w:ilvl w:val="0"/>
        <w:numId w:val="1"/>
      </w:numPr>
    </w:pPr>
  </w:style>
  <w:style w:type="paragraph" w:styleId="10">
    <w:name w:val="Body Text Indent 2"/>
    <w:basedOn w:val="1"/>
    <w:qFormat/>
    <w:uiPriority w:val="0"/>
    <w:pPr>
      <w:snapToGrid w:val="0"/>
      <w:spacing w:line="420" w:lineRule="exact"/>
      <w:ind w:firstLine="480"/>
    </w:pPr>
    <w:rPr>
      <w:sz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Body Text First Indent"/>
    <w:basedOn w:val="5"/>
    <w:qFormat/>
    <w:uiPriority w:val="0"/>
  </w:style>
  <w:style w:type="paragraph" w:styleId="13">
    <w:name w:val="Body Text First Indent 2"/>
    <w:basedOn w:val="7"/>
    <w:next w:val="1"/>
    <w:qFormat/>
    <w:uiPriority w:val="0"/>
    <w:pPr>
      <w:ind w:firstLine="420" w:firstLineChars="200"/>
    </w:pPr>
  </w:style>
  <w:style w:type="paragraph" w:customStyle="1" w:styleId="16">
    <w:name w:val="Default"/>
    <w:basedOn w:val="17"/>
    <w:next w:val="1"/>
    <w:qFormat/>
    <w:uiPriority w:val="0"/>
    <w:pPr>
      <w:widowControl w:val="0"/>
      <w:tabs>
        <w:tab w:val="left" w:pos="1845"/>
      </w:tabs>
      <w:autoSpaceDE w:val="0"/>
      <w:autoSpaceDN w:val="0"/>
      <w:adjustRightInd w:val="0"/>
    </w:pPr>
    <w:rPr>
      <w:rFonts w:ascii="宋体" w:cs="宋体"/>
      <w:color w:val="000000"/>
      <w:sz w:val="24"/>
      <w:szCs w:val="24"/>
      <w:lang w:val="en-US" w:eastAsia="zh-CN" w:bidi="ar-SA"/>
    </w:rPr>
  </w:style>
  <w:style w:type="paragraph" w:customStyle="1" w:styleId="17">
    <w:name w:val="纯文本1"/>
    <w:basedOn w:val="1"/>
    <w:qFormat/>
    <w:uiPriority w:val="0"/>
    <w:pPr>
      <w:tabs>
        <w:tab w:val="left" w:pos="1845"/>
      </w:tabs>
      <w:spacing w:line="240" w:lineRule="exact"/>
      <w:jc w:val="center"/>
    </w:pPr>
    <w:rPr>
      <w:sz w:val="18"/>
    </w:rPr>
  </w:style>
  <w:style w:type="paragraph" w:customStyle="1" w:styleId="18">
    <w:name w:val="1 表头"/>
    <w:basedOn w:val="1"/>
    <w:qFormat/>
    <w:uiPriority w:val="0"/>
    <w:pPr>
      <w:adjustRightInd w:val="0"/>
      <w:snapToGrid w:val="0"/>
      <w:spacing w:line="240" w:lineRule="auto"/>
      <w:ind w:firstLine="0" w:firstLineChars="0"/>
      <w:jc w:val="center"/>
    </w:pPr>
    <w:rPr>
      <w:b/>
      <w:color w:val="000000"/>
      <w:sz w:val="21"/>
      <w:szCs w:val="21"/>
    </w:rPr>
  </w:style>
  <w:style w:type="paragraph" w:customStyle="1" w:styleId="19">
    <w:name w:val="样式5"/>
    <w:basedOn w:val="4"/>
    <w:qFormat/>
    <w:uiPriority w:val="0"/>
    <w:pPr>
      <w:snapToGrid w:val="0"/>
      <w:spacing w:before="62" w:beforeLines="20" w:after="62" w:afterLines="20" w:line="480" w:lineRule="exact"/>
      <w:ind w:firstLine="523" w:firstLineChars="218"/>
      <w:jc w:val="both"/>
    </w:pPr>
    <w:rPr>
      <w:i/>
      <w:iCs/>
      <w:kern w:val="2"/>
      <w:sz w:val="24"/>
      <w:szCs w:val="20"/>
    </w:rPr>
  </w:style>
  <w:style w:type="paragraph" w:customStyle="1" w:styleId="20">
    <w:name w:val="正文(首行缩进)"/>
    <w:basedOn w:val="1"/>
    <w:next w:val="1"/>
    <w:qFormat/>
    <w:uiPriority w:val="0"/>
    <w:pPr>
      <w:spacing w:line="360" w:lineRule="auto"/>
      <w:ind w:firstLine="540" w:firstLineChars="225"/>
    </w:pPr>
    <w:rPr>
      <w:snapToGrid w:val="0"/>
      <w:color w:val="000000"/>
      <w:sz w:val="24"/>
      <w:szCs w:val="24"/>
    </w:rPr>
  </w:style>
  <w:style w:type="paragraph" w:customStyle="1" w:styleId="21">
    <w:name w:val="Normal Indent1"/>
    <w:basedOn w:val="1"/>
    <w:qFormat/>
    <w:uiPriority w:val="0"/>
    <w:pPr>
      <w:ind w:firstLine="420" w:firstLineChars="200"/>
    </w:pPr>
  </w:style>
  <w:style w:type="paragraph" w:customStyle="1" w:styleId="22">
    <w:name w:val="BodyText"/>
    <w:basedOn w:val="1"/>
    <w:qFormat/>
    <w:uiPriority w:val="0"/>
    <w:pPr>
      <w:spacing w:after="120"/>
      <w:jc w:val="both"/>
      <w:textAlignment w:val="baseline"/>
    </w:pPr>
  </w:style>
  <w:style w:type="character" w:customStyle="1" w:styleId="23">
    <w:name w:val="NormalCharacter"/>
    <w:link w:val="1"/>
    <w:semiHidden/>
    <w:qFormat/>
    <w:uiPriority w:val="0"/>
    <w:rPr>
      <w:rFonts w:ascii="Times New Roman" w:hAnsi="Times New Roman" w:eastAsia="宋体" w:cstheme="minorBidi"/>
      <w:kern w:val="2"/>
      <w:sz w:val="21"/>
      <w:szCs w:val="24"/>
      <w:lang w:val="en-US" w:eastAsia="zh-CN" w:bidi="ar-SA"/>
    </w:rPr>
  </w:style>
  <w:style w:type="paragraph" w:customStyle="1" w:styleId="24">
    <w:name w:val="UserStyle_4"/>
    <w:basedOn w:val="1"/>
    <w:qFormat/>
    <w:uiPriority w:val="0"/>
    <w:pPr>
      <w:ind w:left="200" w:leftChars="200" w:firstLine="200" w:firstLineChars="200"/>
      <w:jc w:val="both"/>
      <w:textAlignment w:val="baseline"/>
    </w:pPr>
    <w:rPr>
      <w:rFonts w:ascii="宋体" w:hAnsi="宋体"/>
      <w:color w:val="000000"/>
      <w:kern w:val="2"/>
      <w:sz w:val="32"/>
      <w:szCs w:val="32"/>
      <w:lang w:val="en-US" w:eastAsia="zh-CN" w:bidi="ar-SA"/>
    </w:rPr>
  </w:style>
  <w:style w:type="paragraph" w:customStyle="1" w:styleId="25">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宋体" w:cs="Arial Unicode MS"/>
      <w:color w:val="000000"/>
      <w:kern w:val="2"/>
      <w:sz w:val="21"/>
      <w:szCs w:val="21"/>
      <w:u w:val="none" w:color="00000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2200</Words>
  <Characters>2418</Characters>
  <Lines>0</Lines>
  <Paragraphs>0</Paragraphs>
  <TotalTime>11</TotalTime>
  <ScaleCrop>false</ScaleCrop>
  <LinksUpToDate>false</LinksUpToDate>
  <CharactersWithSpaces>2497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2023-03-31T08:28:00Z</dcterms:created>
  <dc:creator>Lenovo1</dc:creator>
  <cp:lastModifiedBy>Krismileˇ~</cp:lastModifiedBy>
  <cp:lastPrinted>2025-07-10T08:40:00Z</cp:lastPrinted>
  <dcterms:modified xsi:type="dcterms:W3CDTF">2025-10-20T04:05:52Z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758BB58846B041058A4244F515621E88_13</vt:lpwstr>
  </property>
  <property fmtid="{D5CDD505-2E9C-101B-9397-08002B2CF9AE}" pid="4" name="KSOTemplateDocerSaveRecord">
    <vt:lpwstr>eyJoZGlkIjoiOTA3YWNiNGY5NTYwYmI5ZWExYmVjZmZhYzE1YmNiMmUiLCJ1c2VySWQiOiI0NDQ3ODQwNzcifQ==</vt:lpwstr>
  </property>
</Properties>
</file>