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113F82">
      <w:pPr>
        <w:autoSpaceDE w:val="0"/>
        <w:spacing w:line="580" w:lineRule="exact"/>
        <w:rPr>
          <w:rFonts w:hint="default" w:ascii="Times New Roman Regular" w:hAnsi="Times New Roman Regular" w:eastAsia="黑体" w:cs="Times New Roman Regular"/>
          <w:sz w:val="32"/>
          <w:szCs w:val="32"/>
          <w:lang w:bidi="ar"/>
        </w:rPr>
      </w:pPr>
      <w:r>
        <w:rPr>
          <w:rFonts w:hint="default" w:ascii="Times New Roman Regular" w:hAnsi="Times New Roman Regular" w:eastAsia="黑体" w:cs="Times New Roman Regular"/>
          <w:sz w:val="32"/>
          <w:szCs w:val="32"/>
          <w:lang w:bidi="ar"/>
        </w:rPr>
        <w:t>附件</w:t>
      </w:r>
      <w:r>
        <w:rPr>
          <w:rFonts w:hint="default" w:ascii="Times New Roman Regular" w:hAnsi="Times New Roman Regular" w:eastAsia="黑体" w:cs="Times New Roman Regular"/>
          <w:sz w:val="32"/>
          <w:szCs w:val="32"/>
          <w:lang w:bidi="ar"/>
        </w:rPr>
        <w:t>1</w:t>
      </w:r>
    </w:p>
    <w:p w14:paraId="5EBE0962">
      <w:pPr>
        <w:wordWrap w:val="0"/>
        <w:topLinePunct/>
        <w:spacing w:line="560" w:lineRule="exact"/>
        <w:rPr>
          <w:rFonts w:hint="default" w:ascii="Times New Roman Regular" w:hAnsi="Times New Roman Regular" w:eastAsia="仿宋_GB2312" w:cs="Times New Roman Regular"/>
          <w:kern w:val="2"/>
          <w:sz w:val="32"/>
        </w:rPr>
      </w:pPr>
    </w:p>
    <w:p w14:paraId="72A69BA9">
      <w:pPr>
        <w:pStyle w:val="2"/>
        <w:spacing w:before="0" w:after="0" w:line="560" w:lineRule="exact"/>
        <w:jc w:val="center"/>
        <w:rPr>
          <w:rFonts w:hint="default" w:ascii="Times New Roman Regular" w:hAnsi="Times New Roman Regular" w:eastAsia="方正小标宋简体" w:cs="Times New Roman Regular"/>
          <w:b w:val="0"/>
          <w:bCs w:val="0"/>
          <w:sz w:val="44"/>
          <w:szCs w:val="44"/>
        </w:rPr>
      </w:pPr>
      <w:r>
        <w:rPr>
          <w:rFonts w:hint="default" w:ascii="Times New Roman Regular" w:hAnsi="Times New Roman Regular" w:eastAsia="方正小标宋简体" w:cs="Times New Roman Regular"/>
          <w:b w:val="0"/>
          <w:bCs w:val="0"/>
          <w:sz w:val="44"/>
          <w:szCs w:val="44"/>
        </w:rPr>
        <w:t>新疆重大需求人才支持计划项目榜单</w:t>
      </w:r>
    </w:p>
    <w:p w14:paraId="559C5322">
      <w:pPr>
        <w:rPr>
          <w:rFonts w:hint="default" w:ascii="Times New Roman Regular" w:hAnsi="Times New Roman Regular" w:cs="Times New Roman Regular"/>
        </w:rPr>
      </w:pPr>
    </w:p>
    <w:p w14:paraId="55120536">
      <w:pPr>
        <w:pStyle w:val="3"/>
        <w:spacing w:before="0" w:after="0" w:line="560" w:lineRule="exact"/>
        <w:ind w:firstLine="640" w:firstLineChars="200"/>
        <w:jc w:val="both"/>
        <w:rPr>
          <w:rFonts w:hint="default" w:ascii="Times New Roman Regular" w:hAnsi="Times New Roman Regular" w:eastAsia="黑体" w:cs="Times New Roman Regular"/>
          <w:b w:val="0"/>
          <w:bCs w:val="0"/>
        </w:rPr>
      </w:pPr>
      <w:r>
        <w:rPr>
          <w:rFonts w:hint="default" w:ascii="Times New Roman Regular" w:hAnsi="Times New Roman Regular" w:eastAsia="黑体" w:cs="Times New Roman Regular"/>
          <w:b w:val="0"/>
          <w:bCs w:val="0"/>
        </w:rPr>
        <w:t>一、项目名称</w:t>
      </w:r>
      <w:bookmarkStart w:id="0" w:name="_GoBack"/>
      <w:bookmarkEnd w:id="0"/>
    </w:p>
    <w:p w14:paraId="3E010729">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新疆生产建设兵团一体化公共算力服务技术解决方案</w:t>
      </w:r>
    </w:p>
    <w:p w14:paraId="75FF1D19">
      <w:pPr>
        <w:wordWrap w:val="0"/>
        <w:topLinePunct/>
        <w:spacing w:line="560" w:lineRule="exact"/>
        <w:ind w:firstLine="640" w:firstLineChars="200"/>
        <w:jc w:val="left"/>
        <w:outlineLvl w:val="0"/>
        <w:rPr>
          <w:rFonts w:hint="default" w:ascii="Times New Roman Regular" w:hAnsi="Times New Roman Regular" w:eastAsia="黑体" w:cs="Times New Roman Regular"/>
          <w:bCs/>
          <w:color w:val="000000"/>
          <w:kern w:val="2"/>
          <w:sz w:val="32"/>
          <w:szCs w:val="48"/>
        </w:rPr>
      </w:pPr>
      <w:r>
        <w:rPr>
          <w:rFonts w:hint="default" w:ascii="Times New Roman Regular" w:hAnsi="Times New Roman Regular" w:eastAsia="黑体" w:cs="Times New Roman Regular"/>
          <w:bCs/>
          <w:color w:val="000000"/>
          <w:kern w:val="2"/>
          <w:sz w:val="32"/>
          <w:szCs w:val="48"/>
        </w:rPr>
        <w:t>二</w:t>
      </w:r>
      <w:r>
        <w:rPr>
          <w:rFonts w:hint="default" w:ascii="Times New Roman Regular" w:hAnsi="Times New Roman Regular" w:eastAsia="黑体" w:cs="Times New Roman Regular"/>
          <w:bCs/>
          <w:color w:val="000000"/>
          <w:kern w:val="2"/>
          <w:sz w:val="32"/>
          <w:szCs w:val="48"/>
        </w:rPr>
        <w:t>、需求单位</w:t>
      </w:r>
    </w:p>
    <w:p w14:paraId="570C31BB">
      <w:pPr>
        <w:wordWrap w:val="0"/>
        <w:topLinePunct/>
        <w:spacing w:line="560" w:lineRule="exact"/>
        <w:ind w:firstLine="640" w:firstLineChars="200"/>
        <w:rPr>
          <w:rFonts w:hint="default" w:ascii="Times New Roman Regular" w:hAnsi="Times New Roman Regular" w:eastAsia="仿宋_GB2312" w:cs="Times New Roman Regular"/>
          <w:kern w:val="2"/>
          <w:sz w:val="32"/>
        </w:rPr>
      </w:pPr>
      <w:r>
        <w:rPr>
          <w:rFonts w:hint="default" w:ascii="Times New Roman Regular" w:hAnsi="Times New Roman Regular" w:eastAsia="仿宋_GB2312" w:cs="Times New Roman Regular"/>
          <w:kern w:val="2"/>
          <w:sz w:val="32"/>
        </w:rPr>
        <w:t>十二师政务服务和大数据局</w:t>
      </w:r>
    </w:p>
    <w:p w14:paraId="590A0C7A">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highlight w:val="yellow"/>
        </w:rPr>
      </w:pPr>
      <w:r>
        <w:rPr>
          <w:rFonts w:hint="default" w:ascii="Times New Roman Regular" w:hAnsi="Times New Roman Regular" w:eastAsia="仿宋_GB2312" w:cs="Times New Roman Regular"/>
          <w:kern w:val="2"/>
          <w:sz w:val="32"/>
        </w:rPr>
        <w:t>发榜方项目联系人</w:t>
      </w:r>
      <w:r>
        <w:rPr>
          <w:rFonts w:hint="default" w:ascii="Times New Roman Regular" w:hAnsi="Times New Roman Regular" w:eastAsia="仿宋_GB2312" w:cs="Times New Roman Regular"/>
          <w:kern w:val="2"/>
          <w:sz w:val="32"/>
        </w:rPr>
        <w:t>：</w:t>
      </w:r>
      <w:r>
        <w:rPr>
          <w:rFonts w:hint="default" w:ascii="Times New Roman Regular" w:hAnsi="Times New Roman Regular" w:eastAsia="仿宋_GB2312" w:cs="Times New Roman Regular"/>
          <w:sz w:val="32"/>
          <w:szCs w:val="32"/>
        </w:rPr>
        <w:t>唐义淼，联系方式：0991-</w:t>
      </w:r>
      <w:r>
        <w:rPr>
          <w:rFonts w:hint="default" w:ascii="Times New Roman Regular" w:hAnsi="Times New Roman Regular" w:eastAsia="仿宋_GB2312" w:cs="Times New Roman Regular"/>
          <w:sz w:val="32"/>
          <w:szCs w:val="32"/>
        </w:rPr>
        <w:t>396022</w:t>
      </w:r>
      <w:r>
        <w:rPr>
          <w:rFonts w:hint="default" w:ascii="Times New Roman Regular" w:hAnsi="Times New Roman Regular" w:eastAsia="仿宋_GB2312" w:cs="Times New Roman Regular"/>
          <w:sz w:val="32"/>
          <w:szCs w:val="32"/>
          <w:lang w:val="en-US" w:eastAsia="zh-CN"/>
        </w:rPr>
        <w:t>5</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rPr>
        <w:t>18690955004</w:t>
      </w:r>
    </w:p>
    <w:p w14:paraId="2728BA2A">
      <w:pPr>
        <w:pStyle w:val="3"/>
        <w:spacing w:before="0" w:after="0" w:line="560" w:lineRule="exact"/>
        <w:ind w:firstLine="640" w:firstLineChars="200"/>
        <w:jc w:val="both"/>
        <w:rPr>
          <w:rFonts w:hint="default" w:ascii="Times New Roman Regular" w:hAnsi="Times New Roman Regular" w:eastAsia="黑体" w:cs="Times New Roman Regular"/>
          <w:b w:val="0"/>
          <w:bCs w:val="0"/>
        </w:rPr>
      </w:pPr>
      <w:r>
        <w:rPr>
          <w:rFonts w:hint="default" w:ascii="Times New Roman Regular" w:hAnsi="Times New Roman Regular" w:eastAsia="黑体" w:cs="Times New Roman Regular"/>
          <w:b w:val="0"/>
          <w:bCs w:val="0"/>
        </w:rPr>
        <w:t>三、需求内容</w:t>
      </w:r>
    </w:p>
    <w:p w14:paraId="01D89B21">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针对兵团算力资源分散、利用效率低、行业应用不足、系统运维复杂等核心问题，构建“调度是发动机、场景是驱动力、基础设施是保障”的技术路径，打造新疆生产建设兵团一体化公共算力服务平台。平台需率先实现兵团区域内算力中心的数据监测，逐步扩展至兵团及“兵团枢纽节点”内算力中心的全面监测与智能调度，构建覆盖广泛、立体联动的“算力资源监测 + 算电协同发展”国内领先智能算力调度网络；同时，平台需精准服务兵团政府、高校及AI初创企业，助力其融入AI浪潮、推动兵团AI产业发展与人才聚集，为兵团算力产业化与高质量发展提供长期支撑。</w:t>
      </w:r>
    </w:p>
    <w:p w14:paraId="507C4512">
      <w:pPr>
        <w:pStyle w:val="21"/>
        <w:spacing w:before="0" w:after="0" w:line="560" w:lineRule="exact"/>
        <w:ind w:firstLine="643" w:firstLineChars="200"/>
        <w:jc w:val="both"/>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1.异构算力协同调度与优化体系建设</w:t>
      </w:r>
    </w:p>
    <w:p w14:paraId="56DCB7DD">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当前兵团算力资源呈现多源建设、多点分布、各自为政的特点，不同师市、不同类型的算力中心之间缺乏统一管理体系，资源利用率偏低、任务调度效率不高、跨地域协作能力不足，导致大量算力被闲置、部分业务任务排队等待时间长，在政务服务、农业生产、工业质检等高峰场景中尤为突出。为解决上述结构性矛盾，本项目需面向兵团整体算力架构，构建统一的资源抽象、调度策略优化和多级协同调度体系，推动算力从“各自运行”向“统一统筹、智能协同”转变，为算力平台高效供给奠定基础。</w:t>
      </w:r>
    </w:p>
    <w:p w14:paraId="0F0806CD">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在技术实施上，需围绕兵团“中心节点 + 师市节点 + 边缘节点”多层级算力体系，构建统一的算力资源抽象模型，实现CPU/GPU大模型推理服务器等多样化硬件的统一表示与统一管理。同时基于深度强化学习、多目标优化、预测调度模型等技术，构建任务智能调度引擎，根据任务类型、业务优先级、时延需求及能耗参数，生成动态优化的资源编排策略。此外，需引入时延预测与网络拓扑感知技术，优化跨地域调度性能，充分适应兵团地域跨度大、通信链路复杂的实际情况。</w:t>
      </w:r>
    </w:p>
    <w:p w14:paraId="69EA5BE7">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工程化落地阶段，需搭建跨中心协同调度平台，实现主中心、政务云中心、行业云中心及边缘节点之间的任务转发、迁移与协同执行，全面提升算力的统筹调度能力。平台需支持任务自动挂起、迁移、重调度等策略，保障业务在系统负载波动、设备故障、网络抖动等情况下依旧保持稳定运行。同时，通过构建实时资源监控体系，支持资源利用数据、调度执行过程、任务运行日志等多维数据的动态展示，为业务部门提供透明可控的算力使用体验。</w:t>
      </w:r>
    </w:p>
    <w:p w14:paraId="475C5540">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通过上述体系建设，预计将实现算力利用率显著提升（提升15%～20%），任务平均执行时延明显降低（降低20%～30%），跨中心协同能力大幅增强，有效缓解当前算力资源闲置、任务拥塞、协同效率低下的问题。调度体系建成后，可支撑政务审批、智慧农业、工业质检、视频分析、大模型推理等多类业务的快速运行，为兵团建立统一、高效、智能的算力基础架构提供核心技术保障。</w:t>
      </w:r>
    </w:p>
    <w:p w14:paraId="59D36222">
      <w:pPr>
        <w:pStyle w:val="21"/>
        <w:spacing w:before="0" w:after="0" w:line="560" w:lineRule="exact"/>
        <w:ind w:firstLine="643" w:firstLineChars="200"/>
        <w:jc w:val="both"/>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2.行业多场景AI算力服务体系与可复制解决方案建设</w:t>
      </w:r>
    </w:p>
    <w:p w14:paraId="78EE6822">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兵团各领域数字化发展不均衡，不同行业算力需求差异巨大，同时普遍缺乏适配算力平台的应用中台与场景化解决方案。例如政务领域对批量OCR、审查比对、智能审批对话模型等能力需求强烈；农业领域对病虫害识别、农情监测、气象耦合分析等模型依赖度高；工业领域则普遍需要质检模型推理、设备预测性维护等算力服务。然而，这些业务普遍存在接入成本高、接口标准不一致、复用性不足等问题。本项目需针对上述行业痛点，构建兵团专属的多场景算力服务体系，建立可推广的行业解决方案库。</w:t>
      </w:r>
    </w:p>
    <w:p w14:paraId="090CBB2F">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项目需通过构建统一的API服务体系，实现政务、农业、工业、科研等行业算力能力的标准化调用。围绕通用需求，需研发行业中间件能力，包括文件解析、图像识别、视频处理、数据标准化、模型调用适配等组件，减少各行业二次开发成本。针对行业关键场景，需开发可即用型应用模板，如政务材料自动审核系统、农业病虫害识别系统、工业产品瑕疵检测系统、科研计算加速工具等，使行业单位能够以更低成本、更短时间接入算力服务平台。</w:t>
      </w:r>
    </w:p>
    <w:p w14:paraId="4B5CC1A7">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此外，打造兵团统一算力服务门户，整合算力申请、任务管理、模型管理、计费监测、结果下载、开发测试等服务，实现“一站式访问、一次性配置、多场景复用”的平台化体验。在此基础上，构建行业示范场景，通过政务审批智能化改革试点、农业数字田间示范工程、工业质检智能化工厂等项目形成可推广模板，推动算力在全兵团范围内的规模化落地。</w:t>
      </w:r>
    </w:p>
    <w:p w14:paraId="08EED61C">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项目完成后，需形成不少于4个可复制推广的行业解决方案，提供10个以上行业专用API，打造一个统一的公共AI服务门户，使应用接入门槛降低30%以上。行业服务体系的建立不仅可推动各行业数字化与智能化转型，还可为后续行业大模型训练、智能设备接入、工业互联网发展等扩展业务奠定算力基础，为兵团产业数字升级提供长期动力。</w:t>
      </w:r>
    </w:p>
    <w:p w14:paraId="3470E65D">
      <w:pPr>
        <w:pStyle w:val="21"/>
        <w:spacing w:before="0" w:after="0" w:line="560" w:lineRule="exact"/>
        <w:ind w:firstLine="643" w:firstLineChars="200"/>
        <w:jc w:val="both"/>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3.智能运维、安全管理与绿色算力</w:t>
      </w:r>
      <w:r>
        <w:rPr>
          <w:rFonts w:hint="default" w:ascii="Times New Roman Regular" w:hAnsi="Times New Roman Regular" w:eastAsia="仿宋_GB2312" w:cs="Times New Roman Regular"/>
          <w:b/>
          <w:bCs/>
          <w:sz w:val="32"/>
          <w:szCs w:val="32"/>
        </w:rPr>
        <w:t>（算电协同）</w:t>
      </w:r>
      <w:r>
        <w:rPr>
          <w:rFonts w:hint="default" w:ascii="Times New Roman Regular" w:hAnsi="Times New Roman Regular" w:eastAsia="仿宋_GB2312" w:cs="Times New Roman Regular"/>
          <w:b/>
          <w:bCs/>
          <w:sz w:val="32"/>
          <w:szCs w:val="32"/>
        </w:rPr>
        <w:t>建设</w:t>
      </w:r>
    </w:p>
    <w:p w14:paraId="5FF9D3EE">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兵团现有算力中心普遍存在运维力量不足、数据采集不完整、故障发现滞后、安全防护被动等问题，导致运维成本高、系统稳定性差、故障恢复周期长。为解决这些现实矛盾，本项目需构建覆盖全区域算力节点的智能化运维体系，通过IoT感知、AI分析、知识图谱、预测模型等技术，实现算力中心运行状态的实时监测、智能预警与自适应优化。</w:t>
      </w:r>
    </w:p>
    <w:p w14:paraId="197AEACB">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智能监测方面，需部署物联网传感网络，采集机房温湿度、电力消耗、设备健康度、网络质量、负载情况等关键指标，构建兵团算力中心全要素可视化系统。通过引入能耗建模与运行行为分析，可准确识别高能耗设备、异常负载、潜在故障节点，为节能优化和设备管理提供依据。</w:t>
      </w:r>
    </w:p>
    <w:p w14:paraId="5517086F">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智能运维方面，需利用深度学习与知识图谱技术构建故障预测模型，实现设备寿命评估、故障趋势预测、自动化运维策略推荐等能力。平台可对温度异常、电力负载突变、GPU使用异常、任务异常停止等情况进行联动分析，实现主动干预、自动修复、任务迁移等运维动作，大幅降低人工介入程度，提高系统稳定性。</w:t>
      </w:r>
    </w:p>
    <w:p w14:paraId="3D1FB122">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安全管理方面，需构建从威胁检测、风险关联分析、异常行为识别到分级响应的完整安全体系。通过大数据安全事件关联分析，可识别模型注入攻击、越权调用、恶意算力消耗等新型威胁，实现任务链路可信验证、设备安全基线检测和跨中心安全隔离。平台需实现安全策略自动下发、安全事件即时响应和安全态势全局展示，提升算力运行的可信度与韧性。</w:t>
      </w:r>
    </w:p>
    <w:p w14:paraId="19FA9F11">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项目建成后，算力资源监测准确率需提升至95%以上，能耗预测误差控制在5%内，故障恢复时间缩短20%以上，安全事件响应效率提升30%以上。智能运维体系和绿色算力体系的建立，需为兵团算力平台提供高效、可持续、安全稳定的运行保障，助力兵团构建绿色低碳算力中心与高可靠算力服务体系。</w:t>
      </w:r>
    </w:p>
    <w:p w14:paraId="1013D78C">
      <w:pPr>
        <w:wordWrap w:val="0"/>
        <w:topLinePunct/>
        <w:spacing w:line="560" w:lineRule="exact"/>
        <w:ind w:firstLine="640" w:firstLineChars="200"/>
        <w:jc w:val="left"/>
        <w:outlineLvl w:val="0"/>
        <w:rPr>
          <w:rFonts w:hint="default" w:ascii="Times New Roman Regular" w:hAnsi="Times New Roman Regular" w:eastAsia="黑体" w:cs="Times New Roman Regular"/>
          <w:bCs/>
          <w:color w:val="000000"/>
          <w:kern w:val="2"/>
          <w:sz w:val="32"/>
          <w:szCs w:val="48"/>
        </w:rPr>
      </w:pPr>
      <w:r>
        <w:rPr>
          <w:rFonts w:hint="default" w:ascii="Times New Roman Regular" w:hAnsi="Times New Roman Regular" w:eastAsia="黑体" w:cs="Times New Roman Regular"/>
          <w:bCs/>
          <w:color w:val="000000"/>
          <w:kern w:val="2"/>
          <w:sz w:val="32"/>
          <w:szCs w:val="48"/>
        </w:rPr>
        <w:t>四</w:t>
      </w:r>
      <w:r>
        <w:rPr>
          <w:rFonts w:hint="default" w:ascii="Times New Roman Regular" w:hAnsi="Times New Roman Regular" w:eastAsia="黑体" w:cs="Times New Roman Regular"/>
          <w:bCs/>
          <w:color w:val="000000"/>
          <w:kern w:val="2"/>
          <w:sz w:val="32"/>
          <w:szCs w:val="48"/>
        </w:rPr>
        <w:t>、交付条件</w:t>
      </w:r>
    </w:p>
    <w:p w14:paraId="38D58241">
      <w:pPr>
        <w:pStyle w:val="21"/>
        <w:spacing w:before="0" w:after="0" w:line="560" w:lineRule="exact"/>
        <w:ind w:firstLine="643" w:firstLineChars="200"/>
        <w:jc w:val="both"/>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1.知识产权成果（项目周期 3 年）</w:t>
      </w:r>
    </w:p>
    <w:p w14:paraId="6EC44756">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核心发明专利：算力调度与优化相关 3 项、行业应用服务平台与 API 设计相关 2 项、基础设施智能化运维与安全管控相关 2 项，合计 7 项；</w:t>
      </w:r>
    </w:p>
    <w:p w14:paraId="061EB604">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软件著作权：行业应用服务平台与 API 设计相关 2 项；</w:t>
      </w:r>
    </w:p>
    <w:p w14:paraId="0F8497CF">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高水平论文：公开发表 2 篇以上（其中 SCI/EI 收录不少于 1 篇）；</w:t>
      </w:r>
    </w:p>
    <w:p w14:paraId="16C64752">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技术支撑体系：建立公共算力平台技术专利池，为自治区及兵团的算力产业化与推广应用提供长期技术支撑</w:t>
      </w:r>
      <w:r>
        <w:rPr>
          <w:rFonts w:hint="default" w:ascii="Times New Roman Regular" w:hAnsi="Times New Roman Regular" w:eastAsia="仿宋_GB2312" w:cs="Times New Roman Regular"/>
          <w:sz w:val="32"/>
          <w:szCs w:val="32"/>
        </w:rPr>
        <w:t>；</w:t>
      </w:r>
    </w:p>
    <w:p w14:paraId="0AB4A1B1">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软件平台建设：打造新疆生产建设兵团一体化公共算力服务平台，并通过兵团行业主管部门验收，进入实际运行阶段。</w:t>
      </w:r>
    </w:p>
    <w:p w14:paraId="3F2C8BA4">
      <w:pPr>
        <w:pStyle w:val="21"/>
        <w:spacing w:before="0" w:after="0" w:line="560" w:lineRule="exact"/>
        <w:ind w:firstLine="643" w:firstLineChars="200"/>
        <w:jc w:val="both"/>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2.人才培养成果</w:t>
      </w:r>
    </w:p>
    <w:p w14:paraId="50F9D631">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通过项目实施，需显著提升兵团智算产业的人才集聚与培养能力，构建“培养一批、引进一批、留住一批”的高层次智算人才队伍。</w:t>
      </w:r>
    </w:p>
    <w:p w14:paraId="03DD8FDB">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累计培养智算相关产业人才不少于 30 名，其中具备行业领先调度算法研发与优化核心能力的人员不少于 5 名，具备算电协同算法研究能力的人才不少于 5 名，具备智算调度平台运维经验的人员不少于 15 名，具备智算项目管理经验的管理人员不少于 5 名，为兵团智算产业持续发展储备核心力量。</w:t>
      </w:r>
    </w:p>
    <w:p w14:paraId="12958813">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同时，引进疆外及区外高校、科研院所高层次专家和青年骨干不少于</w:t>
      </w:r>
      <w:r>
        <w:rPr>
          <w:rFonts w:hint="default" w:ascii="Times New Roman Regular" w:hAnsi="Times New Roman Regular" w:eastAsia="仿宋_GB2312" w:cs="Times New Roman Regular"/>
          <w:sz w:val="32"/>
          <w:szCs w:val="32"/>
        </w:rPr>
        <w:t>5</w:t>
      </w:r>
      <w:r>
        <w:rPr>
          <w:rFonts w:hint="default" w:ascii="Times New Roman Regular" w:hAnsi="Times New Roman Regular" w:eastAsia="仿宋_GB2312" w:cs="Times New Roman Regular"/>
          <w:sz w:val="32"/>
          <w:szCs w:val="32"/>
        </w:rPr>
        <w:t>名，依托项目设立院士工作站、专家工作室和兵团智算专家库，形成跨区域、跨行业的智力合作平台。通过实施博士、硕士专项培养计划，建立联合导师指导机制，推动科研人才与产业实践的深度融合。</w:t>
      </w:r>
    </w:p>
    <w:p w14:paraId="1310A423">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项目实施后，需建成一支结构合理、能力互补、具备国际视野的智算产业创新人才队伍，基本形成以核心专家为引领、技术骨干为支撑、青年科研人员为储备的持续发展格局，为兵团算力产业高质量发展提供长期智力支撑。</w:t>
      </w:r>
    </w:p>
    <w:p w14:paraId="3D42CCAB">
      <w:pPr>
        <w:spacing w:line="520" w:lineRule="exact"/>
        <w:ind w:firstLine="640" w:firstLineChars="200"/>
        <w:jc w:val="left"/>
        <w:outlineLvl w:val="1"/>
        <w:rPr>
          <w:rFonts w:hint="default" w:ascii="Times New Roman Regular" w:hAnsi="Times New Roman Regular" w:eastAsia="黑体" w:cs="Times New Roman Regular"/>
          <w:kern w:val="2"/>
          <w:sz w:val="32"/>
          <w:szCs w:val="32"/>
        </w:rPr>
      </w:pPr>
      <w:r>
        <w:rPr>
          <w:rFonts w:hint="default" w:ascii="Times New Roman Regular" w:hAnsi="Times New Roman Regular" w:eastAsia="黑体" w:cs="Times New Roman Regular"/>
          <w:kern w:val="2"/>
          <w:sz w:val="32"/>
          <w:szCs w:val="32"/>
        </w:rPr>
        <w:t>五、项目实施周期及揭榜金额</w:t>
      </w:r>
    </w:p>
    <w:p w14:paraId="19278F80">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2"/>
          <w:sz w:val="32"/>
        </w:rPr>
        <w:t>项目实施周期为3年（2</w:t>
      </w:r>
      <w:r>
        <w:rPr>
          <w:rFonts w:hint="default" w:ascii="Times New Roman Regular" w:hAnsi="Times New Roman Regular" w:eastAsia="仿宋_GB2312" w:cs="Times New Roman Regular"/>
          <w:kern w:val="2"/>
          <w:sz w:val="32"/>
        </w:rPr>
        <w:t>026</w:t>
      </w:r>
      <w:r>
        <w:rPr>
          <w:rFonts w:hint="default" w:ascii="Times New Roman Regular" w:hAnsi="Times New Roman Regular" w:eastAsia="仿宋_GB2312" w:cs="Times New Roman Regular"/>
          <w:kern w:val="2"/>
          <w:sz w:val="32"/>
        </w:rPr>
        <w:t>年—2</w:t>
      </w:r>
      <w:r>
        <w:rPr>
          <w:rFonts w:hint="default" w:ascii="Times New Roman Regular" w:hAnsi="Times New Roman Regular" w:eastAsia="仿宋_GB2312" w:cs="Times New Roman Regular"/>
          <w:kern w:val="2"/>
          <w:sz w:val="32"/>
        </w:rPr>
        <w:t>028</w:t>
      </w:r>
      <w:r>
        <w:rPr>
          <w:rFonts w:hint="default" w:ascii="Times New Roman Regular" w:hAnsi="Times New Roman Regular" w:eastAsia="仿宋_GB2312" w:cs="Times New Roman Regular"/>
          <w:kern w:val="2"/>
          <w:sz w:val="32"/>
        </w:rPr>
        <w:t>年），揭榜金额</w:t>
      </w:r>
      <w:r>
        <w:rPr>
          <w:rFonts w:hint="default" w:ascii="Times New Roman Regular" w:hAnsi="Times New Roman Regular" w:eastAsia="仿宋_GB2312" w:cs="Times New Roman Regular"/>
          <w:kern w:val="2"/>
          <w:sz w:val="32"/>
        </w:rPr>
        <w:t>1000</w:t>
      </w:r>
      <w:r>
        <w:rPr>
          <w:rFonts w:hint="default" w:ascii="Times New Roman Regular" w:hAnsi="Times New Roman Regular" w:eastAsia="仿宋_GB2312" w:cs="Times New Roman Regular"/>
          <w:kern w:val="2"/>
          <w:sz w:val="32"/>
        </w:rPr>
        <w:t>万元。</w:t>
      </w:r>
    </w:p>
    <w:p w14:paraId="5121E53A">
      <w:pPr>
        <w:pStyle w:val="3"/>
        <w:spacing w:before="0" w:after="0" w:line="560" w:lineRule="exact"/>
        <w:ind w:firstLine="640" w:firstLineChars="200"/>
        <w:jc w:val="both"/>
        <w:rPr>
          <w:rFonts w:hint="default" w:ascii="Times New Roman Regular" w:hAnsi="Times New Roman Regular" w:eastAsia="黑体" w:cs="Times New Roman Regular"/>
          <w:b w:val="0"/>
          <w:bCs w:val="0"/>
        </w:rPr>
      </w:pPr>
      <w:r>
        <w:rPr>
          <w:rFonts w:hint="default" w:ascii="Times New Roman Regular" w:hAnsi="Times New Roman Regular" w:eastAsia="黑体" w:cs="Times New Roman Regular"/>
          <w:b w:val="0"/>
          <w:bCs w:val="0"/>
        </w:rPr>
        <w:t>六</w:t>
      </w:r>
      <w:r>
        <w:rPr>
          <w:rFonts w:hint="default" w:ascii="Times New Roman Regular" w:hAnsi="Times New Roman Regular" w:eastAsia="黑体" w:cs="Times New Roman Regular"/>
          <w:b w:val="0"/>
          <w:bCs w:val="0"/>
        </w:rPr>
        <w:t>、</w:t>
      </w:r>
      <w:r>
        <w:rPr>
          <w:rFonts w:hint="default" w:ascii="Times New Roman Regular" w:hAnsi="Times New Roman Regular" w:eastAsia="黑体" w:cs="Times New Roman Regular"/>
          <w:b w:val="0"/>
          <w:bCs w:val="0"/>
        </w:rPr>
        <w:t>对揭榜方要求</w:t>
      </w:r>
    </w:p>
    <w:p w14:paraId="31D98834">
      <w:pPr>
        <w:pStyle w:val="4"/>
        <w:spacing w:before="0" w:after="0" w:line="560" w:lineRule="exact"/>
        <w:ind w:firstLine="641" w:firstLineChars="200"/>
        <w:jc w:val="both"/>
        <w:rPr>
          <w:rFonts w:hint="default" w:ascii="Times New Roman Regular" w:hAnsi="Times New Roman Regular" w:eastAsia="楷体_GB2312" w:cs="Times New Roman Regular"/>
          <w:sz w:val="32"/>
          <w:szCs w:val="32"/>
        </w:rPr>
      </w:pPr>
      <w:r>
        <w:rPr>
          <w:rFonts w:hint="default" w:ascii="Times New Roman Regular" w:hAnsi="Times New Roman Regular" w:eastAsia="楷体_GB2312" w:cs="Times New Roman Regular"/>
          <w:sz w:val="32"/>
          <w:szCs w:val="32"/>
        </w:rPr>
        <w:t>（一）异构算力调度与优化技术团队</w:t>
      </w:r>
    </w:p>
    <w:p w14:paraId="4765CD6A">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为确保兵团一体化公共算力服务平台在技术体系上达到国内先进水平，并能够支撑未来算力网络持续演进，项目亟需组建具备深度科研基础与系统性技术攻关能力的异构算力调度与智能优化研发团队。</w:t>
      </w:r>
    </w:p>
    <w:p w14:paraId="2242D8CC">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该团队应能够紧密对接国家“东数西算”战略部署，围绕兵团算力枢纽建设和区域算力协同发展的总体目标，在多源异构算力资源建模、调度算法体系构建、跨域调度架构设计等方面开展系统性研发工作。</w:t>
      </w:r>
    </w:p>
    <w:p w14:paraId="0659CF30">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团队需在计算机体系结构、分布式系统、高性能计算等领域具备扎实基础，并能够需深度强化学习、自适应优化算法、智能决策模型等前沿技术与算力调度场景深度融合，实现跨中心、跨架构乃至跨区域算力资源的智能化、实时化、高效率协同调度。要求团队具备国家级科研平台、重点实验室或省部级科研基地的技术支撑能力，能够提供完善的中试环境、测试条件与算法评估体系，为兵团构建自主可控、可持续演进的核心调度技术体系提供长期稳定的研发支撑。</w:t>
      </w:r>
    </w:p>
    <w:p w14:paraId="2C953BA3">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与此同时，该团队必须具备承担国家级与省部级重大科研任务的能力与经验，以确保在本项目涉及的多源资源建模、调度算法自适应优化、算电协同策略融合等高复杂度领域中具备充足的研究深度和创新能力。</w:t>
      </w:r>
    </w:p>
    <w:p w14:paraId="6EDCDC66">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算力调度体系研发涉及跨学科知识交叉、软硬件协同优化、资源环境动态变化等多维挑战，要求团队具有长期科研积累和跨领域融合能力。因此，团队核心负责人和技术骨干需具备主持不少于2项国家自然科学基金项目、承担不少于3项省部级科技课题的经历，能够在项目全过程中承担顶层架构设计、关键技术路线规划和工程化方案落地等任务。</w:t>
      </w:r>
    </w:p>
    <w:p w14:paraId="5E0589B0">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具备此类科研组织经验的团队才能确保在项目实施周期内持续突破调度架构瓶颈，推动兵团算力体系关键核心技术从“可用”迈向“好用”“智用”与“可持续演进”。</w:t>
      </w:r>
    </w:p>
    <w:p w14:paraId="4B40F55A">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科研成果与学术储备方面，承担本项目研发工作的团队必须具备丰厚的国际同行评议成果与自主创新成果积累。项目要求团队在计算机体系结构、智能调度算法、人工智能与算力系统融合等方向具有长期研究基础，并在国内外高水平期刊和会议上形成有影响力的科研产出。</w:t>
      </w:r>
    </w:p>
    <w:p w14:paraId="3CA6345C">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团队具备不少于30篇SCI/EI收录论文，其中应包含发表于信息科学、智能系统、分布式计算、大模型计算等领域的重要研究成果，以确保研发力量能够站在国际技术前沿开展攻关。同时，团队需具备一定数量的发明专利或核心技术储备，尤其是在算力调度建模、资源智能优化、跨域协同机制等领域拥有可支撑工程化落地的自主知识产权，以保障项目关键技术的安全可控与成果可转化性。</w:t>
      </w:r>
    </w:p>
    <w:p w14:paraId="7E743512">
      <w:pPr>
        <w:pStyle w:val="4"/>
        <w:spacing w:before="0" w:after="0" w:line="560" w:lineRule="exact"/>
        <w:ind w:firstLine="641" w:firstLineChars="200"/>
        <w:jc w:val="both"/>
        <w:rPr>
          <w:rFonts w:hint="default" w:ascii="Times New Roman Regular" w:hAnsi="Times New Roman Regular" w:eastAsia="楷体_GB2312" w:cs="Times New Roman Regular"/>
          <w:sz w:val="32"/>
          <w:szCs w:val="32"/>
        </w:rPr>
      </w:pPr>
      <w:r>
        <w:rPr>
          <w:rFonts w:hint="default" w:ascii="Times New Roman Regular" w:hAnsi="Times New Roman Regular" w:eastAsia="楷体_GB2312" w:cs="Times New Roman Regular"/>
          <w:sz w:val="32"/>
          <w:szCs w:val="32"/>
        </w:rPr>
        <w:t>（二）应用场景与行业解决方案团队</w:t>
      </w:r>
    </w:p>
    <w:p w14:paraId="40F2E252">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为确保一体化公共算力服务平台能够在重点行业领域实现规模化应用和深度服务，项目建设必须依托一支具备系统性行业洞察能力、跨领域解决方案设计能力和丰富政企服务经验的专业团队。该团队应充分理解政务治理现代化、农业智能化、工业互联网升级、科研创新体系建设等领域的业务特征与发展趋势，能够基于兵团的产业结构布局、生产方式特点和业务流程体系，构建高度贴合本地实际需求的行业算力应用体系。</w:t>
      </w:r>
    </w:p>
    <w:p w14:paraId="6E521A4F">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团队需要具备将抽象算力能力转化为行业可直接使用的应用接口、行业中台组件或场景化解决方案的能力，实现算力平台向行业服务能力的顺畅映射。通过开展系统化行业调研、业务流程分析和应用场景识别，团队需形成支撑平台建设的行业需求体系与场景模型体系，并能够在平台建设初期推动算力供给与行业需求的“双向匹配”，为平台后续的规模化落地和行业价值释放奠定坚实基础。</w:t>
      </w:r>
    </w:p>
    <w:p w14:paraId="5F4D02EF">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技术体系建设方面，该团队必须具备开发行业中间件系统和构建统一API服务体系的专业能力，确保算力资源能够以低成本、高效率的方式接入政府、高校、企业、科研机构等多类业务场景。团队需具备构建高可靠、高并发、易扩展的行业应用模块的能力，使算力服务能够支撑政务审批系统、农业生产监测平台、工业质检模型、科研大模型训练、教育科研计算等多元场景。</w:t>
      </w:r>
    </w:p>
    <w:p w14:paraId="7088294B">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同时，该团队应具备扎实的通信网络架构设计能力和云平台运维管理能力，能够保障算力服务在跨区域、跨机构、跨行业的大规模部署中满足高稳定性与高可用性的要求。此外，团队需深刻理解国家与兵团在数据安全、隐私保护、行业监管等方面的政策标准，能够针对不同应用场景制定差异化的数据安全策略，构建多层级、多维度的安全防护体系，以确保算力服务在全生命周期内安全可信。</w:t>
      </w:r>
    </w:p>
    <w:p w14:paraId="72C0D5CD">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项目实施中，团队还需具备推动算力平台在全行业范围内复制推广与应用运营的能力，包括行业需求诊断、示范场景打造、解决方案复制推广、用户培训与运维服务等一系列系统化能力。算力平台作为兵团新型基础设施体系的重要组成部分，其价值实现不仅依赖算法能力和硬件资源，更需要健全的行业生态体系作为支撑。因此，团队</w:t>
      </w:r>
      <w:r>
        <w:rPr>
          <w:rFonts w:hint="default" w:ascii="Times New Roman Regular" w:hAnsi="Times New Roman Regular" w:eastAsia="仿宋_GB2312" w:cs="Times New Roman Regular"/>
          <w:sz w:val="32"/>
          <w:szCs w:val="32"/>
        </w:rPr>
        <w:t>需</w:t>
      </w:r>
      <w:r>
        <w:rPr>
          <w:rFonts w:hint="default" w:ascii="Times New Roman Regular" w:hAnsi="Times New Roman Regular" w:eastAsia="仿宋_GB2312" w:cs="Times New Roman Regular"/>
          <w:sz w:val="32"/>
          <w:szCs w:val="32"/>
        </w:rPr>
        <w:t>具备打造高质量行业示范工程的能力，能够形成具有推广价值的标杆案例，并在此基础上推动在兵团乃至自治区范围内的规模化复制。</w:t>
      </w:r>
    </w:p>
    <w:p w14:paraId="0D07C9C6">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团队还需具备跨部门协同组织能力，能够协调政务部门、行业主管单位、产业企业等多方力量共同推进应用落地。同时，团队需具备成熟的用户服务能力，包括算力资源申请支撑、行业模型部署、系统适配调试、用户技术培训等，以确保平台能够稳定、持续地为行业用户提供服务。</w:t>
      </w:r>
    </w:p>
    <w:p w14:paraId="69888F87">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此外，项目对团队在行业应用生命周期管理方面提出更高要求。团队需要具备对行业需求变化的敏锐洞察力和产品快速迭代能力，能够围绕政务、农业、工业和科研等行业的不断演进需求，对平台功能进行持续优化和扩展。团队应建立需求采集、功能设计、应用评估、反馈闭环的全流程产品迭代机制，使平台功能始终保持与行业需求的动态匹配。</w:t>
      </w:r>
    </w:p>
    <w:p w14:paraId="5A1602E9">
      <w:pPr>
        <w:pStyle w:val="21"/>
        <w:spacing w:before="0" w:after="0" w:line="560" w:lineRule="exact"/>
        <w:ind w:firstLine="640" w:firstLineChars="200"/>
        <w:jc w:val="both"/>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sz w:val="32"/>
          <w:szCs w:val="32"/>
        </w:rPr>
        <w:t>同时，团队需要具备跨专业协作能力，能够与核心算法研发团队、基础设施管理团队紧密衔接，确保调度架构、算力资源管理、API体系建设等底层能力与行业应用场景实现无缝融合。通过以上能力体系的构建，行业应用团队需成为推动兵团政务数字化转型、农业智能化升级、工业企业数字化改造的重要支撑力量，为算力平台价值释放和区域产业能级提升提供持续动力。</w:t>
      </w:r>
    </w:p>
    <w:p w14:paraId="4B6FD522">
      <w:pPr>
        <w:pStyle w:val="4"/>
        <w:spacing w:before="0" w:after="0" w:line="560" w:lineRule="exact"/>
        <w:ind w:firstLine="641" w:firstLineChars="200"/>
        <w:jc w:val="both"/>
        <w:rPr>
          <w:rFonts w:hint="default" w:ascii="Times New Roman Regular" w:hAnsi="Times New Roman Regular" w:eastAsia="楷体_GB2312" w:cs="Times New Roman Regular"/>
          <w:sz w:val="32"/>
          <w:szCs w:val="32"/>
        </w:rPr>
      </w:pPr>
      <w:r>
        <w:rPr>
          <w:rFonts w:hint="default" w:ascii="Times New Roman Regular" w:hAnsi="Times New Roman Regular" w:eastAsia="楷体_GB2312" w:cs="Times New Roman Regular"/>
          <w:sz w:val="32"/>
          <w:szCs w:val="32"/>
        </w:rPr>
        <w:t>（三）基础设施智能化管理团队</w:t>
      </w:r>
    </w:p>
    <w:p w14:paraId="28787D81">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算力基础设施建设与长期运行保障方面，项目需要配置一支兼具理论深度、工程经验与系统统筹能力的智能化运维与安全管理团队。随着兵团算力体系逐步形成多中心协同、多架构并行、多资源池统一调度的格局，底层设施的运行维护复杂度需大幅提升，电力系统、冷却系统、网络系统等关键基础设施之间的耦合关系愈发紧密，对实时监测、资源调优及故障预警的依赖程度显著加大。因此，团队应全面掌握物联网感知网络构建、数据采集与融合处理、能耗与运行状态建模、系统行为预测等关键技术，能够推动算力中心从传统运维模式向数据驱动、智能化、预测式运维模式转型，为算力平台的高可靠性运行提供坚实保障。</w:t>
      </w:r>
    </w:p>
    <w:p w14:paraId="43B8880D">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此外，算力中心作为区域级关键基础设施，安全风险呈现多样化与复杂化特征，不仅包括常规的网络安全威胁，还涉及物理环境波动、能耗异常、设备故障、任务滥用及非法调用等多类型风险场景。因此，团队必须具备构建多维度安全管理体系的能力，包括模型驱动的异常行为识别、智能威胁感知系统、风险关联分析模型、分级与闭环安全响应策略等核心技术体系，能够实现“监测—分析—预警—处置—恢复”的全链条安全保障能力。同时，团队需坚持自主可控、安全可信的原则，在建设与运维环节中优先采用可审计、可追溯、安全可靠的关键软硬件组件，确保算力平台在关键领域具备可控性和稳健性。</w:t>
      </w:r>
    </w:p>
    <w:p w14:paraId="393ECB4C">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能效管理方面，团队还需具备算力资源与电力系统协同优化的技术研发能力和工程实施能力。随着算力规模持续扩大，电力约束已经成为影响算力平台综合效能的关键因素，能耗管理不再是辅助模块，而是影响算力调度策略、资源使用效率与运营成本的重要决策依据。因此，团队应在电力系统建模、能耗预测算法、能效优化策略、冷热系统协同管理和算电协同运行机制等方面具备前沿技术储备，能够开发基于实时数据驱动的能效优化模型，实现功耗动态预测、负载分布分析和自适应节能策略调整，逐步构建绿色、低碳、高效的算力基础设施体系，为兵团打造具有可持续性和示范性的能效优化解决方案。</w:t>
      </w:r>
    </w:p>
    <w:p w14:paraId="6B5DF869">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同时，团队需具备跨学科融合能力，将能源工程、自动化控制、数据科学、网络安全、人工智能等领域的技术深度融合到算力基础设施管理体系中，确保平台在安全性、能效、稳定性等方面达到行业领先水平，并能为兵团未来构建大规模、高负载、多场景协同的算力体系提供持续支撑与战略能力储备。</w:t>
      </w:r>
    </w:p>
    <w:p w14:paraId="4C9C67F7">
      <w:pPr>
        <w:pStyle w:val="4"/>
        <w:spacing w:before="0" w:after="0" w:line="560" w:lineRule="exact"/>
        <w:ind w:firstLine="641" w:firstLineChars="200"/>
        <w:jc w:val="both"/>
        <w:rPr>
          <w:rFonts w:hint="default" w:ascii="Times New Roman Regular" w:hAnsi="Times New Roman Regular" w:eastAsia="楷体_GB2312" w:cs="Times New Roman Regular"/>
          <w:sz w:val="32"/>
          <w:szCs w:val="32"/>
        </w:rPr>
      </w:pPr>
      <w:r>
        <w:rPr>
          <w:rFonts w:hint="default" w:ascii="Times New Roman Regular" w:hAnsi="Times New Roman Regular" w:eastAsia="楷体_GB2312" w:cs="Times New Roman Regular"/>
          <w:sz w:val="32"/>
          <w:szCs w:val="32"/>
        </w:rPr>
        <w:t>（四）人才培养与引进专项团队</w:t>
      </w:r>
    </w:p>
    <w:p w14:paraId="3AD6289C">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算力产业发展和算力平台建设不断深化的背景下，项目迫切需要一支具备系统规划能力和全链条人才体系构建能力的专业团队，负责人才培养、引进、培训与留用机制的整体设计与实施。随着算力调度、智能优化、绿色能效、行业应用等核心技术的持续演进，仅依赖外部力量难以支撑平台的长期运营与自主创新能力建设，因此必须在项目建设阶段同步构建完善的人才体系。该团队应具备统筹高校、科研院所、产业企业等多方资源的能力，能够搭建涵盖基础研发人才、工程技术人员、行业应用专家、高层次科技领军人才在内的多层级人才培养体系，通过联合培养、课题共建、试验平台建设、产学研深度融合等方式，逐步形成具备自主研发能力与工程化落地能力的本地人才梯队。同时，团队需具备设计专业化课程体系的能力，覆盖算力调度优化、数据治理、平台运维、安全可信体系、行业应用开发等关键内容，确保本地人才能够直接参与平台建设与运营。</w:t>
      </w:r>
    </w:p>
    <w:p w14:paraId="685C4863">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人才引进方面，需要团队具备设计与实施“柔性引才、全职引进、专家顾问支持”相结合的人才引育体系，能够有效吸引疆内外高水平科研人才、工程技术专家和青年创新人才参与平台建设。团队应能够在待遇保障、科研条件、创新环境、发展空间、成果转化支持等方面制定科学合理的引才政策，形成具备吸引力的激励机制。</w:t>
      </w:r>
    </w:p>
    <w:p w14:paraId="047E06D9">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同时，应建设院士工作站、专家工作室、青年科研创新团队等人才载体，使引进的人才能够在关键技术攻关、科研组织、成果转化等方面发挥重要作用。团队还应具备与国内外高校、科研机构建立长期合作关系的能力，通过联合实验室建设、课题协同研究、人才双向培养等方式，引入优质科研资源和创新力量，形成支撑兵团算力产业持续发展的智力供给体系。</w:t>
      </w:r>
    </w:p>
    <w:p w14:paraId="2122659D">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培训体系建设方面，该团队需具备构建覆盖政务人员、行业用户、平台运维人员以及专业技术人员的多维培训体系，推动算力能力在更大范围、更深层次的普及与应用。算力平台建设涉及体系架构、算力调度、数据管理、安全运维等多领域知识，因此团队需具备开发系统化课程体系的专业能力，并能够结合实践场景开展实训教学。针对运维人员，应重点培训任务调度管理、资源利用优化、能耗管理与设备维护能力；针对行业技术人员，应重点培训API调用方法、场景接入规范与数据安全要求；针对政务人员，应重点培训算力赋能政务服务方式及业务场景理解。通过完善的培训体系建设，可提升本地专业人员使用平台、管理平台、拓展应用的能力，为平台持续运营提供坚实的人力保障。</w:t>
      </w:r>
    </w:p>
    <w:p w14:paraId="6E530C93">
      <w:pPr>
        <w:pStyle w:val="21"/>
        <w:spacing w:before="0" w:after="0" w:line="560" w:lineRule="exact"/>
        <w:ind w:firstLine="640"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在人才留用与持续发展方面，要求团队具备构建科学激励机制和完善评价体系的能力，以确保培养及引进的人才能够长期服务兵团算力产业发展。团队需能够构建成果转化奖励机制、职称晋升通道、绩效考核体系及专家评估机制等多元激励模式，提升人才参与平台建设和技术攻关的积极性。</w:t>
      </w:r>
    </w:p>
    <w:p w14:paraId="54E60FDD">
      <w:pPr>
        <w:pStyle w:val="21"/>
        <w:spacing w:before="0" w:after="0" w:line="560" w:lineRule="exact"/>
        <w:ind w:firstLine="640" w:firstLineChars="200"/>
        <w:jc w:val="both"/>
        <w:rPr>
          <w:rFonts w:hint="default" w:ascii="Times New Roman Regular" w:hAnsi="Times New Roman Regular" w:eastAsia="仿宋_GB2312" w:cs="Times New Roman Regular"/>
          <w:color w:val="C0504D" w:themeColor="accent2"/>
          <w:sz w:val="32"/>
          <w:szCs w:val="32"/>
          <w14:textFill>
            <w14:solidFill>
              <w14:schemeClr w14:val="accent2"/>
            </w14:solidFill>
          </w14:textFill>
        </w:rPr>
      </w:pPr>
      <w:r>
        <w:rPr>
          <w:rFonts w:hint="default" w:ascii="Times New Roman Regular" w:hAnsi="Times New Roman Regular" w:eastAsia="仿宋_GB2312" w:cs="Times New Roman Regular"/>
          <w:sz w:val="32"/>
          <w:szCs w:val="32"/>
        </w:rPr>
        <w:t>同时，团队应能够营造创新生态，通过组织行业论坛、学术研讨、技术竞赛、创新项目孵化等方式，为人才提供展示成果、交流经验和提升影响力的平台，强化人才的归属感和使命感。通过这一系列机制建设，最终形成一支结构合理、能力突出、具有持续创新能力和战略支撑能力的高质量人才队伍，为兵团算力平台的长期迭代升级和区域算力产业的可持续发展提供坚实的智力保障。</w:t>
      </w:r>
    </w:p>
    <w:p w14:paraId="68E1C024">
      <w:pPr>
        <w:pStyle w:val="3"/>
        <w:spacing w:before="0" w:after="0" w:line="560" w:lineRule="exact"/>
        <w:ind w:firstLine="640" w:firstLineChars="200"/>
        <w:jc w:val="both"/>
        <w:rPr>
          <w:rFonts w:hint="default" w:ascii="Times New Roman Regular" w:hAnsi="Times New Roman Regular" w:eastAsia="黑体" w:cs="Times New Roman Regular"/>
          <w:b w:val="0"/>
          <w:bCs w:val="0"/>
        </w:rPr>
      </w:pPr>
      <w:r>
        <w:rPr>
          <w:rFonts w:hint="default" w:ascii="Times New Roman Regular" w:hAnsi="Times New Roman Regular" w:eastAsia="黑体" w:cs="Times New Roman Regular"/>
          <w:b w:val="0"/>
          <w:bCs w:val="0"/>
        </w:rPr>
        <w:t>七、其他要求</w:t>
      </w:r>
    </w:p>
    <w:p w14:paraId="026F23EC">
      <w:pPr>
        <w:pStyle w:val="21"/>
        <w:spacing w:before="0" w:after="0" w:line="560" w:lineRule="exact"/>
        <w:ind w:firstLine="643"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技术合作支撑</w:t>
      </w:r>
      <w:r>
        <w:rPr>
          <w:rFonts w:hint="default" w:ascii="Times New Roman Regular" w:hAnsi="Times New Roman Regular" w:eastAsia="仿宋_GB2312" w:cs="Times New Roman Regular"/>
          <w:sz w:val="32"/>
          <w:szCs w:val="32"/>
        </w:rPr>
        <w:t>：团队与</w:t>
      </w:r>
      <w:r>
        <w:rPr>
          <w:rFonts w:hint="default" w:ascii="Times New Roman Regular" w:hAnsi="Times New Roman Regular" w:eastAsia="仿宋_GB2312" w:cs="Times New Roman Regular"/>
          <w:sz w:val="32"/>
          <w:szCs w:val="32"/>
        </w:rPr>
        <w:t>国内顶尖重点</w:t>
      </w:r>
      <w:r>
        <w:rPr>
          <w:rFonts w:hint="default" w:ascii="Times New Roman Regular" w:hAnsi="Times New Roman Regular" w:eastAsia="仿宋_GB2312" w:cs="Times New Roman Regular"/>
          <w:sz w:val="32"/>
          <w:szCs w:val="32"/>
        </w:rPr>
        <w:t>实验室建立横向课题交流与合作机制，引入前沿技术理念、科研资源与实验数据，提升平台在算电协同、绿色能耗方面的技术先进性。</w:t>
      </w:r>
    </w:p>
    <w:p w14:paraId="06520252">
      <w:pPr>
        <w:pStyle w:val="21"/>
        <w:spacing w:before="0" w:after="0" w:line="560" w:lineRule="exact"/>
        <w:ind w:firstLine="643"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产业生态对接</w:t>
      </w:r>
      <w:r>
        <w:rPr>
          <w:rFonts w:hint="default" w:ascii="Times New Roman Regular" w:hAnsi="Times New Roman Regular" w:eastAsia="仿宋_GB2312" w:cs="Times New Roman Regular"/>
          <w:sz w:val="32"/>
          <w:szCs w:val="32"/>
        </w:rPr>
        <w:t xml:space="preserve">：提供与国内领先 AI 孵化器及头部 AI 企业的交流合作机会，推动平台技术与产业实际需求深度对接，加速算力应用场景落地，构建 </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rPr>
        <w:t xml:space="preserve">技术 </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rPr>
        <w:t>场景</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rPr>
        <w:t>产业</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rPr>
        <w:t>协同发展生态。</w:t>
      </w:r>
    </w:p>
    <w:p w14:paraId="24AE5C80">
      <w:pPr>
        <w:pStyle w:val="21"/>
        <w:spacing w:before="0" w:after="0" w:line="560" w:lineRule="exact"/>
        <w:ind w:firstLine="643" w:firstLineChars="200"/>
        <w:jc w:val="both"/>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bCs/>
          <w:sz w:val="32"/>
          <w:szCs w:val="32"/>
        </w:rPr>
        <w:t>资金与人才保障</w:t>
      </w:r>
      <w:r>
        <w:rPr>
          <w:rFonts w:hint="default" w:ascii="Times New Roman Regular" w:hAnsi="Times New Roman Regular" w:eastAsia="仿宋_GB2312" w:cs="Times New Roman Regular"/>
          <w:sz w:val="32"/>
          <w:szCs w:val="32"/>
        </w:rPr>
        <w:t>：引入社会化基金公司参与平台建设与人才引进，通过</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rPr>
        <w:t>1:4 配资配股</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rPr>
        <w:t>模式，盘活数字资产、缓解地方政府财政压力；依托市场化机制优化公共服务效率，推动产业升级与区域均衡发展，同时为人才引进提供资金支持。</w:t>
      </w:r>
    </w:p>
    <w:p w14:paraId="452A2F7A">
      <w:pPr>
        <w:rPr>
          <w:rFonts w:hint="default" w:ascii="Times New Roman Regular" w:hAnsi="Times New Roman Regular" w:eastAsia="仿宋_GB2312" w:cs="Times New Roman Regular"/>
          <w:sz w:val="32"/>
          <w:szCs w:val="32"/>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Times New Roman PS Pro">
    <w:altName w:val="Times New Roman"/>
    <w:panose1 w:val="00000000000000000000"/>
    <w:charset w:val="00"/>
    <w:family w:val="auto"/>
    <w:pitch w:val="default"/>
    <w:sig w:usb0="00000000" w:usb1="00000000" w:usb2="00000000" w:usb3="00000000" w:csb0="20000093"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黑体_GBK">
    <w:altName w:val="汉仪中黑KW"/>
    <w:panose1 w:val="00000000000000000000"/>
    <w:charset w:val="86"/>
    <w:family w:val="script"/>
    <w:pitch w:val="default"/>
    <w:sig w:usb0="00000000" w:usb1="00000000" w:usb2="00000000" w:usb3="00000000" w:csb0="00040000" w:csb1="00000000"/>
  </w:font>
  <w:font w:name="楷体_GB2312">
    <w:altName w:val="汉仪楷体简"/>
    <w:panose1 w:val="00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0Njk4ZmZkZTBiYzNhZDZjMmU5ODYzYjNiMDFjYTEifQ=="/>
  </w:docVars>
  <w:rsids>
    <w:rsidRoot w:val="00546331"/>
    <w:rsid w:val="00057D04"/>
    <w:rsid w:val="00236145"/>
    <w:rsid w:val="0024491A"/>
    <w:rsid w:val="002F48E7"/>
    <w:rsid w:val="003B3EC8"/>
    <w:rsid w:val="00455E6D"/>
    <w:rsid w:val="00546331"/>
    <w:rsid w:val="006230BD"/>
    <w:rsid w:val="00637D6B"/>
    <w:rsid w:val="0064761F"/>
    <w:rsid w:val="006E1086"/>
    <w:rsid w:val="00711E78"/>
    <w:rsid w:val="007D4C70"/>
    <w:rsid w:val="008C0CAE"/>
    <w:rsid w:val="00AD288E"/>
    <w:rsid w:val="00CE0DE1"/>
    <w:rsid w:val="00D6700D"/>
    <w:rsid w:val="00DC3DF7"/>
    <w:rsid w:val="00E9567A"/>
    <w:rsid w:val="00F0750E"/>
    <w:rsid w:val="04B3C03F"/>
    <w:rsid w:val="052E2738"/>
    <w:rsid w:val="09DECEB2"/>
    <w:rsid w:val="101E4596"/>
    <w:rsid w:val="127D3718"/>
    <w:rsid w:val="17BE8AEA"/>
    <w:rsid w:val="17FF42EA"/>
    <w:rsid w:val="1CDC942D"/>
    <w:rsid w:val="1EDF7FBC"/>
    <w:rsid w:val="1FBFB412"/>
    <w:rsid w:val="1FEDC9D2"/>
    <w:rsid w:val="264777D9"/>
    <w:rsid w:val="286C48F1"/>
    <w:rsid w:val="286E1168"/>
    <w:rsid w:val="29FFAD28"/>
    <w:rsid w:val="2A247AC1"/>
    <w:rsid w:val="2BFC61A3"/>
    <w:rsid w:val="2FB55369"/>
    <w:rsid w:val="2FFFEA9E"/>
    <w:rsid w:val="33BFEB80"/>
    <w:rsid w:val="33EF5241"/>
    <w:rsid w:val="35F46A12"/>
    <w:rsid w:val="36BB5DE0"/>
    <w:rsid w:val="37BFDCFC"/>
    <w:rsid w:val="37F92D0B"/>
    <w:rsid w:val="37FCF8FB"/>
    <w:rsid w:val="399B2010"/>
    <w:rsid w:val="3B725F2E"/>
    <w:rsid w:val="3D7FA277"/>
    <w:rsid w:val="3DD72095"/>
    <w:rsid w:val="3F6F1EBF"/>
    <w:rsid w:val="3FDE3B60"/>
    <w:rsid w:val="3FEF4EEB"/>
    <w:rsid w:val="3FFE4E95"/>
    <w:rsid w:val="45B58302"/>
    <w:rsid w:val="47E2AFAC"/>
    <w:rsid w:val="483162A7"/>
    <w:rsid w:val="4BBA5D58"/>
    <w:rsid w:val="4BFFA5EC"/>
    <w:rsid w:val="4CF2CA63"/>
    <w:rsid w:val="4E7A4BBB"/>
    <w:rsid w:val="4F774BFB"/>
    <w:rsid w:val="4FFBB84F"/>
    <w:rsid w:val="53425027"/>
    <w:rsid w:val="547CF6FB"/>
    <w:rsid w:val="548742DC"/>
    <w:rsid w:val="55FFF562"/>
    <w:rsid w:val="564EAAB8"/>
    <w:rsid w:val="567D770C"/>
    <w:rsid w:val="575BB7F9"/>
    <w:rsid w:val="57DF246B"/>
    <w:rsid w:val="57FF7FE0"/>
    <w:rsid w:val="5BAF0311"/>
    <w:rsid w:val="5BBDC8FD"/>
    <w:rsid w:val="5BFE4BB3"/>
    <w:rsid w:val="5DFDD3CC"/>
    <w:rsid w:val="5DFE46BD"/>
    <w:rsid w:val="5E771AA1"/>
    <w:rsid w:val="5EF84480"/>
    <w:rsid w:val="5F772D65"/>
    <w:rsid w:val="5FE7445C"/>
    <w:rsid w:val="61656732"/>
    <w:rsid w:val="637ECAB5"/>
    <w:rsid w:val="64BFF184"/>
    <w:rsid w:val="64FAE9D2"/>
    <w:rsid w:val="66DB7366"/>
    <w:rsid w:val="67B386B2"/>
    <w:rsid w:val="67FB7464"/>
    <w:rsid w:val="696C6B24"/>
    <w:rsid w:val="6BB0EA09"/>
    <w:rsid w:val="6BD3A57F"/>
    <w:rsid w:val="6BE50BB8"/>
    <w:rsid w:val="6D5DBB9D"/>
    <w:rsid w:val="6DDB1BE4"/>
    <w:rsid w:val="6E5FABB6"/>
    <w:rsid w:val="6EDB5DBA"/>
    <w:rsid w:val="6EFE0135"/>
    <w:rsid w:val="6F7DC577"/>
    <w:rsid w:val="6FCB23DF"/>
    <w:rsid w:val="6FEB191A"/>
    <w:rsid w:val="6FFF601A"/>
    <w:rsid w:val="71BD8CBF"/>
    <w:rsid w:val="72B3E0DA"/>
    <w:rsid w:val="73F619EE"/>
    <w:rsid w:val="747F4F5E"/>
    <w:rsid w:val="75BF6102"/>
    <w:rsid w:val="76F51380"/>
    <w:rsid w:val="76F71AC4"/>
    <w:rsid w:val="77666F92"/>
    <w:rsid w:val="777F90CB"/>
    <w:rsid w:val="778DB22B"/>
    <w:rsid w:val="77AF8AE3"/>
    <w:rsid w:val="77DF7887"/>
    <w:rsid w:val="77EEDEA6"/>
    <w:rsid w:val="77EF1359"/>
    <w:rsid w:val="77F9A7D0"/>
    <w:rsid w:val="77F9C6E1"/>
    <w:rsid w:val="77FF06AB"/>
    <w:rsid w:val="78D68A34"/>
    <w:rsid w:val="79991CFD"/>
    <w:rsid w:val="7AEF2C91"/>
    <w:rsid w:val="7AEFB41F"/>
    <w:rsid w:val="7AF5C2DB"/>
    <w:rsid w:val="7BF7FDF2"/>
    <w:rsid w:val="7BFF749D"/>
    <w:rsid w:val="7C63AFB3"/>
    <w:rsid w:val="7CA7F83C"/>
    <w:rsid w:val="7CF51CAF"/>
    <w:rsid w:val="7D3D4B4C"/>
    <w:rsid w:val="7D770F4C"/>
    <w:rsid w:val="7D9F6E57"/>
    <w:rsid w:val="7DD79BA8"/>
    <w:rsid w:val="7DE90564"/>
    <w:rsid w:val="7DEFEC67"/>
    <w:rsid w:val="7DFA5C90"/>
    <w:rsid w:val="7E1D2283"/>
    <w:rsid w:val="7E334C0D"/>
    <w:rsid w:val="7E398771"/>
    <w:rsid w:val="7E5F1EDA"/>
    <w:rsid w:val="7EBA2664"/>
    <w:rsid w:val="7EBE594A"/>
    <w:rsid w:val="7EDEF0D5"/>
    <w:rsid w:val="7EEFD880"/>
    <w:rsid w:val="7F75B42D"/>
    <w:rsid w:val="7F819472"/>
    <w:rsid w:val="7FBF54C5"/>
    <w:rsid w:val="7FBF5503"/>
    <w:rsid w:val="7FD34345"/>
    <w:rsid w:val="7FD3EDB9"/>
    <w:rsid w:val="7FD94D0C"/>
    <w:rsid w:val="7FDD8EBD"/>
    <w:rsid w:val="7FDFA26E"/>
    <w:rsid w:val="7FED937A"/>
    <w:rsid w:val="7FEEC7A5"/>
    <w:rsid w:val="7FF5584A"/>
    <w:rsid w:val="7FFBEEE9"/>
    <w:rsid w:val="7FFBFDA1"/>
    <w:rsid w:val="7FFE5B39"/>
    <w:rsid w:val="7FFE5C92"/>
    <w:rsid w:val="7FFE8E86"/>
    <w:rsid w:val="7FFF69BE"/>
    <w:rsid w:val="82F04961"/>
    <w:rsid w:val="876F9AA4"/>
    <w:rsid w:val="8A7A4720"/>
    <w:rsid w:val="8AEF102F"/>
    <w:rsid w:val="8E1F5F31"/>
    <w:rsid w:val="8FF7B23C"/>
    <w:rsid w:val="94FF3C4C"/>
    <w:rsid w:val="97BDF89B"/>
    <w:rsid w:val="9BFF8255"/>
    <w:rsid w:val="9DD3159F"/>
    <w:rsid w:val="9FFE7377"/>
    <w:rsid w:val="ABACF2F0"/>
    <w:rsid w:val="ADFEFF99"/>
    <w:rsid w:val="AF5BD133"/>
    <w:rsid w:val="AFFCBB58"/>
    <w:rsid w:val="B46F4ED5"/>
    <w:rsid w:val="B9F0C04F"/>
    <w:rsid w:val="BACDBFC7"/>
    <w:rsid w:val="BF6F96F1"/>
    <w:rsid w:val="BFAFE814"/>
    <w:rsid w:val="BFF72DF7"/>
    <w:rsid w:val="BFFB0F88"/>
    <w:rsid w:val="C05FF384"/>
    <w:rsid w:val="C3DF597E"/>
    <w:rsid w:val="CB5B24DB"/>
    <w:rsid w:val="CEDF4614"/>
    <w:rsid w:val="CFB620D2"/>
    <w:rsid w:val="CFBF44B1"/>
    <w:rsid w:val="CFF11F67"/>
    <w:rsid w:val="D3CDB646"/>
    <w:rsid w:val="D3DF9B54"/>
    <w:rsid w:val="D538C9F0"/>
    <w:rsid w:val="D586D0F6"/>
    <w:rsid w:val="D5B7072A"/>
    <w:rsid w:val="D6FF99A2"/>
    <w:rsid w:val="D7DFC801"/>
    <w:rsid w:val="D8FF1A4C"/>
    <w:rsid w:val="D9BF21E7"/>
    <w:rsid w:val="DA3E4C61"/>
    <w:rsid w:val="DBFF579F"/>
    <w:rsid w:val="DC6F11A1"/>
    <w:rsid w:val="DC7F8F7B"/>
    <w:rsid w:val="DCF31E03"/>
    <w:rsid w:val="DDF355E5"/>
    <w:rsid w:val="DE596985"/>
    <w:rsid w:val="DFD34FFE"/>
    <w:rsid w:val="DFD50718"/>
    <w:rsid w:val="DFDFB66D"/>
    <w:rsid w:val="DFF35599"/>
    <w:rsid w:val="DFFF416B"/>
    <w:rsid w:val="E5FA7980"/>
    <w:rsid w:val="E7BFD2E9"/>
    <w:rsid w:val="E7DFBBDA"/>
    <w:rsid w:val="E7EE2FB2"/>
    <w:rsid w:val="E7EE37A6"/>
    <w:rsid w:val="E7FDDDDB"/>
    <w:rsid w:val="EA779D4F"/>
    <w:rsid w:val="EAFF0D72"/>
    <w:rsid w:val="EB3FE950"/>
    <w:rsid w:val="EBFB71A6"/>
    <w:rsid w:val="EBFF2EAF"/>
    <w:rsid w:val="EF9FA0D4"/>
    <w:rsid w:val="EFAFC56A"/>
    <w:rsid w:val="EFEBF0EA"/>
    <w:rsid w:val="EFF3176B"/>
    <w:rsid w:val="EFFDE8DB"/>
    <w:rsid w:val="F3FC42E1"/>
    <w:rsid w:val="F3FEB56E"/>
    <w:rsid w:val="F4EFBC42"/>
    <w:rsid w:val="F5BAD2DD"/>
    <w:rsid w:val="F5BEFC21"/>
    <w:rsid w:val="F5FE9540"/>
    <w:rsid w:val="F6B9F116"/>
    <w:rsid w:val="F6BC174C"/>
    <w:rsid w:val="F6D17205"/>
    <w:rsid w:val="F6FD5B8D"/>
    <w:rsid w:val="F72FD466"/>
    <w:rsid w:val="F7FFEBFB"/>
    <w:rsid w:val="F8FFE6BE"/>
    <w:rsid w:val="F9466DFC"/>
    <w:rsid w:val="F9DF238C"/>
    <w:rsid w:val="F9FB0829"/>
    <w:rsid w:val="F9FECF2C"/>
    <w:rsid w:val="FA2F7E40"/>
    <w:rsid w:val="FA7D3B63"/>
    <w:rsid w:val="FA9D864F"/>
    <w:rsid w:val="FABA6691"/>
    <w:rsid w:val="FACE305E"/>
    <w:rsid w:val="FAFFD7C0"/>
    <w:rsid w:val="FBFE0A03"/>
    <w:rsid w:val="FBFF53D1"/>
    <w:rsid w:val="FD5A5836"/>
    <w:rsid w:val="FD5FC214"/>
    <w:rsid w:val="FD9F6BDD"/>
    <w:rsid w:val="FDEFB05D"/>
    <w:rsid w:val="FE738866"/>
    <w:rsid w:val="FE9CFD2A"/>
    <w:rsid w:val="FEE5F3F1"/>
    <w:rsid w:val="FEEBACC9"/>
    <w:rsid w:val="FEEEBA5F"/>
    <w:rsid w:val="FEF59258"/>
    <w:rsid w:val="FEF5CAC7"/>
    <w:rsid w:val="FF3A4075"/>
    <w:rsid w:val="FF3B2A47"/>
    <w:rsid w:val="FF3EFABE"/>
    <w:rsid w:val="FF3FA1BE"/>
    <w:rsid w:val="FF6DFE07"/>
    <w:rsid w:val="FF6FD860"/>
    <w:rsid w:val="FF7EE068"/>
    <w:rsid w:val="FF7FC5B1"/>
    <w:rsid w:val="FFBBAFCE"/>
    <w:rsid w:val="FFBBCC09"/>
    <w:rsid w:val="FFBFE56A"/>
    <w:rsid w:val="FFD69952"/>
    <w:rsid w:val="FFD707C0"/>
    <w:rsid w:val="FFEF74FA"/>
    <w:rsid w:val="FFF73BA1"/>
    <w:rsid w:val="FFF7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footer"/>
    <w:basedOn w:val="1"/>
    <w:link w:val="24"/>
    <w:uiPriority w:val="0"/>
    <w:pPr>
      <w:tabs>
        <w:tab w:val="center" w:pos="4153"/>
        <w:tab w:val="right" w:pos="8306"/>
      </w:tabs>
      <w:snapToGrid w:val="0"/>
      <w:jc w:val="left"/>
    </w:pPr>
    <w:rPr>
      <w:sz w:val="18"/>
      <w:szCs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0">
    <w:name w:val="footnote text"/>
    <w:link w:val="20"/>
    <w:unhideWhenUsed/>
    <w:qFormat/>
    <w:uiPriority w:val="99"/>
    <w:rPr>
      <w:rFonts w:asciiTheme="minorHAnsi" w:hAnsiTheme="minorHAnsi" w:eastAsiaTheme="minorEastAsia" w:cstheme="minorBidi"/>
      <w:lang w:val="en-US" w:eastAsia="zh-CN" w:bidi="ar-SA"/>
    </w:rPr>
  </w:style>
  <w:style w:type="paragraph" w:styleId="11">
    <w:name w:val="toc 2"/>
    <w:basedOn w:val="1"/>
    <w:next w:val="1"/>
    <w:autoRedefine/>
    <w:uiPriority w:val="0"/>
    <w:pPr>
      <w:ind w:left="420" w:leftChars="200"/>
    </w:pPr>
  </w:style>
  <w:style w:type="paragraph" w:styleId="12">
    <w:name w:val="Normal (Web)"/>
    <w:basedOn w:val="1"/>
    <w:qFormat/>
    <w:uiPriority w:val="0"/>
    <w:rPr>
      <w:sz w:val="24"/>
    </w:rPr>
  </w:style>
  <w:style w:type="paragraph" w:styleId="13">
    <w:name w:val="Title"/>
    <w:qFormat/>
    <w:uiPriority w:val="0"/>
    <w:pPr>
      <w:spacing w:before="480" w:after="480" w:line="288" w:lineRule="auto"/>
    </w:pPr>
    <w:rPr>
      <w:rFonts w:ascii="Arial" w:hAnsi="Arial" w:eastAsia="等线" w:cs="Arial"/>
      <w:b/>
      <w:bCs/>
      <w:sz w:val="52"/>
      <w:szCs w:val="52"/>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563C1"/>
      <w:u w:val="single"/>
    </w:rPr>
  </w:style>
  <w:style w:type="character" w:styleId="18">
    <w:name w:val="footnote reference"/>
    <w:unhideWhenUsed/>
    <w:qFormat/>
    <w:uiPriority w:val="99"/>
    <w:rPr>
      <w:vertAlign w:val="superscript"/>
    </w:rPr>
  </w:style>
  <w:style w:type="paragraph" w:customStyle="1" w:styleId="19">
    <w:name w:val="列表段落1"/>
    <w:qFormat/>
    <w:uiPriority w:val="0"/>
    <w:rPr>
      <w:rFonts w:asciiTheme="minorHAnsi" w:hAnsiTheme="minorHAnsi" w:eastAsiaTheme="minorEastAsia" w:cstheme="minorBidi"/>
      <w:sz w:val="21"/>
      <w:szCs w:val="22"/>
      <w:lang w:val="en-US" w:eastAsia="zh-CN" w:bidi="ar-SA"/>
    </w:rPr>
  </w:style>
  <w:style w:type="character" w:customStyle="1" w:styleId="20">
    <w:name w:val="脚注文本 字符"/>
    <w:link w:val="10"/>
    <w:unhideWhenUsed/>
    <w:qFormat/>
    <w:uiPriority w:val="99"/>
    <w:rPr>
      <w:sz w:val="20"/>
      <w:szCs w:val="20"/>
    </w:rPr>
  </w:style>
  <w:style w:type="paragraph" w:customStyle="1" w:styleId="2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2">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3">
    <w:name w:val="页眉 字符"/>
    <w:basedOn w:val="16"/>
    <w:link w:val="9"/>
    <w:uiPriority w:val="0"/>
    <w:rPr>
      <w:rFonts w:asciiTheme="minorHAnsi" w:hAnsiTheme="minorHAnsi" w:eastAsiaTheme="minorEastAsia" w:cstheme="minorBidi"/>
      <w:sz w:val="18"/>
      <w:szCs w:val="18"/>
    </w:rPr>
  </w:style>
  <w:style w:type="character" w:customStyle="1" w:styleId="24">
    <w:name w:val="页脚 字符"/>
    <w:basedOn w:val="16"/>
    <w:link w:val="8"/>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1258</Words>
  <Characters>7176</Characters>
  <Lines>59</Lines>
  <Paragraphs>16</Paragraphs>
  <TotalTime>369</TotalTime>
  <ScaleCrop>false</ScaleCrop>
  <LinksUpToDate>false</LinksUpToDate>
  <CharactersWithSpaces>8418</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2025-09-27T13:43:00Z</dcterms:created>
  <dc:creator>Un-named</dc:creator>
  <cp:lastModifiedBy>田紫琳</cp:lastModifiedBy>
  <dcterms:modified xsi:type="dcterms:W3CDTF">2025-11-30T10:33:16Z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eyJoZGlkIjoiMzEwNTM5NzYwMDRjMzkwZTVkZjY2ODkwMGIxNGU0OTUiLCJ1c2VySWQiOiIyNzk0MDgwOTAifQ==</vt:lpwstr>
  </property>
  <property fmtid="{D5CDD505-2E9C-101B-9397-08002B2CF9AE}" pid="3" name="KSOProductBuildVer">
    <vt:lpwstr>2052-6.11.0.8885</vt:lpwstr>
  </property>
  <property fmtid="{D5CDD505-2E9C-101B-9397-08002B2CF9AE}" pid="4" name="ICV">
    <vt:lpwstr>4F3E26D88E50D5320BAA1669CF235126_43</vt:lpwstr>
  </property>
</Properties>
</file>