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bookmarkStart w:id="0" w:name="_Hlk217038177"/>
      <w:r>
        <w:rPr>
          <w:rFonts w:hint="default" w:ascii="Times New Roman" w:hAnsi="Times New Roman" w:eastAsia="方正小标宋简体" w:cs="Times New Roman"/>
          <w:sz w:val="44"/>
          <w:szCs w:val="44"/>
          <w:lang w:val="en-US" w:eastAsia="zh-CN"/>
        </w:rPr>
        <w:t>乌鲁木齐高新区北220千伏输变电工程</w:t>
      </w:r>
      <w:r>
        <w:rPr>
          <w:rFonts w:hint="eastAsia"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十二师段</w:t>
      </w:r>
      <w:bookmarkEnd w:id="0"/>
      <w:r>
        <w:rPr>
          <w:rFonts w:hint="eastAsia" w:eastAsia="方正小标宋简体" w:cs="Times New Roman"/>
          <w:sz w:val="44"/>
          <w:szCs w:val="44"/>
          <w:lang w:val="en-US" w:eastAsia="zh-CN"/>
        </w:rPr>
        <w:t>）</w:t>
      </w:r>
      <w:r>
        <w:rPr>
          <w:rFonts w:hint="eastAsia" w:ascii="方正小标宋简体" w:hAnsi="方正小标宋简体" w:eastAsia="方正小标宋简体" w:cs="方正小标宋简体"/>
          <w:color w:val="auto"/>
          <w:sz w:val="44"/>
          <w:szCs w:val="44"/>
        </w:rPr>
        <w:t>项目环境影响报告表</w:t>
      </w:r>
      <w:r>
        <w:rPr>
          <w:rFonts w:hint="default" w:ascii="Times New Roman" w:hAnsi="Times New Roman" w:eastAsia="方正小标宋简体" w:cs="Times New Roman"/>
          <w:sz w:val="44"/>
          <w:szCs w:val="44"/>
          <w:lang w:val="en-US" w:eastAsia="zh-CN"/>
        </w:rPr>
        <w:t>的批复</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国网新疆电力有限公司乌鲁木齐供电公司：</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你单位报送的新疆鼎耀工程咨询有限公司编制的</w:t>
      </w:r>
      <w:r>
        <w:rPr>
          <w:rFonts w:hint="eastAsia" w:eastAsia="仿宋_GB2312" w:cs="Times New Roman"/>
          <w:color w:val="auto"/>
          <w:sz w:val="32"/>
          <w:szCs w:val="32"/>
          <w:lang w:val="en-US" w:eastAsia="zh-CN"/>
        </w:rPr>
        <w:t>《乌鲁木齐高新区北220千伏输变电工程（十二师段）项目环境影响报告表</w:t>
      </w:r>
      <w:r>
        <w:rPr>
          <w:rFonts w:hint="default" w:ascii="Times New Roman" w:hAnsi="Times New Roman" w:eastAsia="仿宋_GB2312" w:cs="Times New Roman"/>
          <w:color w:val="auto"/>
          <w:sz w:val="32"/>
          <w:szCs w:val="32"/>
          <w:lang w:val="en-US" w:eastAsia="zh-CN"/>
        </w:rPr>
        <w:t>》（以下简称《报告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0A089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项目位于</w:t>
      </w:r>
      <w:r>
        <w:rPr>
          <w:rFonts w:hint="default" w:ascii="Times New Roman" w:hAnsi="Times New Roman" w:eastAsia="仿宋_GB2312" w:cs="Times New Roman"/>
          <w:sz w:val="32"/>
          <w:szCs w:val="32"/>
          <w:highlight w:val="none"/>
          <w:lang w:eastAsia="zh-CN"/>
        </w:rPr>
        <w:t>新疆生产建设兵团第十二师五一农场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起点位于青格达750千伏变电站（坐标：E87°24′37.465"，N44°02′20.215"），终点位于安米西街西侧（坐标：87°</w:t>
      </w:r>
      <w:r>
        <w:rPr>
          <w:rFonts w:hint="default" w:ascii="Times New Roman" w:hAnsi="Times New Roman" w:eastAsia="仿宋_GB2312" w:cs="Times New Roman"/>
          <w:sz w:val="32"/>
          <w:szCs w:val="32"/>
          <w:highlight w:val="none"/>
          <w:lang w:val="en-US" w:eastAsia="zh-CN"/>
        </w:rPr>
        <w:t>32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58.924</w:t>
      </w:r>
      <w:r>
        <w:rPr>
          <w:rFonts w:hint="default" w:ascii="Times New Roman" w:hAnsi="Times New Roman" w:eastAsia="仿宋_GB2312" w:cs="Times New Roman"/>
          <w:sz w:val="32"/>
          <w:szCs w:val="32"/>
          <w:highlight w:val="none"/>
        </w:rPr>
        <w:t>",43°5</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43.889</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p w14:paraId="6FE8A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建设内容：本项目建设性质为新建，本次建设内容为青格达750千伏变电站至安米西街西侧（A51）10.6千米输电线路，其中，架设双回路输电线路8千米，四回路输电线路2.6千米。</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7519.75万元（</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cs="Times New Roman"/>
          <w:bCs/>
          <w:color w:val="auto"/>
          <w:kern w:val="2"/>
          <w:sz w:val="32"/>
          <w:szCs w:val="32"/>
          <w:highlight w:val="none"/>
          <w:u w:color="000000"/>
          <w:lang w:val="en-US" w:eastAsia="zh-CN" w:bidi="ar-SA"/>
        </w:rPr>
        <w:t>90</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highlight w:val="none"/>
          <w:u w:color="000000"/>
          <w:lang w:val="en-US" w:eastAsia="zh-CN" w:bidi="ar-SA"/>
        </w:rPr>
        <w:t>1.2</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7304B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color w:val="auto"/>
          <w:sz w:val="32"/>
          <w:szCs w:val="32"/>
          <w:lang w:val="en-US" w:eastAsia="zh-CN"/>
        </w:rPr>
        <w:t>在全面落实</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中提出的各项防治生态破坏和环境污染措施的前提下，项目建设对环境的不利影响能够得到缓解和控制。我局原则同意</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中所列建设项目的性质、规模、地点和拟采取的环境保护措施。</w:t>
      </w:r>
    </w:p>
    <w:p w14:paraId="13BFF9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三、在项目设计、建设、运营和环境管理中要认真落实《报告书》提出的各项环保要求，严格执行环保</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制度，确保污染物稳定达标排放，并达到以下要求：</w:t>
      </w:r>
    </w:p>
    <w:p w14:paraId="12D93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一）落实生态环境保护措施。施工期加强施工管理，文明施工，挖掘土方及时回填；施工物料统一堆存并采取防尘网遮盖、洒水等措施；严格控制运输车辆的运输量，规范运输车辆的运输方式，不得遗撒、泄漏和扬尘，避免大风天气进行易扬尘作业。</w:t>
      </w:r>
    </w:p>
    <w:p w14:paraId="7B351B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二）落实水环境保护措施。施工期禁止向水体排放及倾倒垃圾、弃土、弃渣、污水；禁止在水中及临河区域清洗车辆设备；加强施工机械的维护和保养，防止“跑、冒、滴、漏”，避免泥浆等污染物进入水体，确保污染物质不落地，不得在临河区域内检修机械，施工过程中减少施工机械的使用；塔基基础养护废水自然蒸发；钻孔灌注桩施工过程中产生的泥浆经防渗泥浆沉淀池自然沉淀分离泥渣，上清液回用。</w:t>
      </w:r>
    </w:p>
    <w:p w14:paraId="1652C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三）落实噪声防治措施。施工期场地合理安排施工计划、避免夜间施工、严禁夜间使用高噪声设备，并对高噪声设备采取适当的减振降噪措施。运营期输电线路沿线声环境须满足《声环境质量标准》（GB3096-2008）中2类标准限值要求。</w:t>
      </w:r>
    </w:p>
    <w:p w14:paraId="774B5E79">
      <w:pPr>
        <w:keepNext w:val="0"/>
        <w:keepLines w:val="0"/>
        <w:pageBreakBefore w:val="0"/>
        <w:kinsoku/>
        <w:wordWrap/>
        <w:overflowPunct/>
        <w:topLinePunct w:val="0"/>
        <w:autoSpaceDE/>
        <w:autoSpaceDN/>
        <w:bidi w:val="0"/>
        <w:snapToGrid/>
        <w:spacing w:line="560" w:lineRule="exact"/>
        <w:ind w:firstLine="641"/>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w:t>
      </w:r>
      <w:r>
        <w:rPr>
          <w:rFonts w:hint="default" w:ascii="Times New Roman" w:hAnsi="Times New Roman" w:eastAsia="仿宋_GB2312" w:cs="Times New Roman"/>
          <w:color w:val="auto"/>
          <w:sz w:val="32"/>
          <w:szCs w:val="32"/>
          <w:highlight w:val="none"/>
          <w:u w:val="none" w:color="auto"/>
          <w:lang w:val="en-US" w:eastAsia="zh-CN"/>
        </w:rPr>
        <w:t>本项目运营期一般工业固体</w:t>
      </w:r>
      <w:r>
        <w:rPr>
          <w:rFonts w:hint="eastAsia" w:ascii="Times New Roman" w:hAnsi="Times New Roman" w:eastAsia="仿宋_GB2312" w:cs="Times New Roman"/>
          <w:color w:val="auto"/>
          <w:sz w:val="32"/>
          <w:szCs w:val="32"/>
          <w:highlight w:val="none"/>
          <w:u w:val="none" w:color="auto"/>
          <w:lang w:val="en-US" w:eastAsia="zh-CN"/>
        </w:rPr>
        <w:t>废物</w:t>
      </w:r>
      <w:r>
        <w:rPr>
          <w:rFonts w:hint="default" w:ascii="Times New Roman" w:hAnsi="Times New Roman" w:eastAsia="仿宋_GB2312" w:cs="Times New Roman"/>
          <w:color w:val="auto"/>
          <w:sz w:val="32"/>
          <w:szCs w:val="32"/>
          <w:highlight w:val="none"/>
          <w:u w:val="none" w:color="auto"/>
          <w:lang w:val="en-US" w:eastAsia="zh-CN"/>
        </w:rPr>
        <w:t>废绝缘子、金具等集中收集后带回检修基地，作为废旧物资进行交旧退库回收处理。生活垃圾集中收集后，随检修人员带至附近生活垃圾收集点处理。</w:t>
      </w:r>
    </w:p>
    <w:p w14:paraId="26FD36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强化环境风险防范和应急措施。严格执行《报告表》中提出各项生态保护和污染防治措施，施工结束后及时恢复施工迹地。高压装置周围明显位置设立必要的警告标识，以避免发生意外事故；禁止在线路廊道征地范围内新建任何建筑物。</w:t>
      </w:r>
    </w:p>
    <w:p w14:paraId="55099C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的内容和结论负责。对不落实生态环境保护主体责任，存在承诺弄虚作假，建设项目严重违法，环评文件有严重质量问题等情形的，我局可依法撤销行政许可决定，对存在的违法行为依法查处。</w:t>
      </w:r>
    </w:p>
    <w:p w14:paraId="5A788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1BCBB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5AA01F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15992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14:paraId="1F6908CE">
      <w:pPr>
        <w:pStyle w:val="14"/>
        <w:rPr>
          <w:rFonts w:hint="default" w:ascii="Times New Roman" w:hAnsi="Times New Roman" w:eastAsia="仿宋_GB2312" w:cs="Times New Roman"/>
          <w:color w:val="auto"/>
          <w:sz w:val="32"/>
          <w:szCs w:val="32"/>
          <w:lang w:val="en-US" w:eastAsia="zh-CN"/>
        </w:rPr>
      </w:pPr>
    </w:p>
    <w:p w14:paraId="4E7E5963">
      <w:pPr>
        <w:rPr>
          <w:rFonts w:hint="default"/>
          <w:lang w:val="en-US" w:eastAsia="zh-CN"/>
        </w:rPr>
      </w:pP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B1761"/>
    <w:multiLevelType w:val="singleLevel"/>
    <w:tmpl w:val="4B6B1761"/>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303427A"/>
    <w:rsid w:val="036B03E5"/>
    <w:rsid w:val="0418546F"/>
    <w:rsid w:val="0431202E"/>
    <w:rsid w:val="049F51EA"/>
    <w:rsid w:val="04B54A0D"/>
    <w:rsid w:val="053613BF"/>
    <w:rsid w:val="07592C22"/>
    <w:rsid w:val="076E74DB"/>
    <w:rsid w:val="07DD39B1"/>
    <w:rsid w:val="09A65D5E"/>
    <w:rsid w:val="0A300945"/>
    <w:rsid w:val="0A873EBB"/>
    <w:rsid w:val="0C211C5A"/>
    <w:rsid w:val="0DC736EF"/>
    <w:rsid w:val="0E3A5F83"/>
    <w:rsid w:val="1130362F"/>
    <w:rsid w:val="12404419"/>
    <w:rsid w:val="132F6CC0"/>
    <w:rsid w:val="1483206F"/>
    <w:rsid w:val="15B71C1A"/>
    <w:rsid w:val="17712A16"/>
    <w:rsid w:val="17FD79ED"/>
    <w:rsid w:val="184A2555"/>
    <w:rsid w:val="1A0A11CB"/>
    <w:rsid w:val="1BA54230"/>
    <w:rsid w:val="1BDC1A17"/>
    <w:rsid w:val="1CAE56BC"/>
    <w:rsid w:val="1F6B0692"/>
    <w:rsid w:val="1F811721"/>
    <w:rsid w:val="1F8F686F"/>
    <w:rsid w:val="1FC030C2"/>
    <w:rsid w:val="20232162"/>
    <w:rsid w:val="20920B1E"/>
    <w:rsid w:val="209C6FB6"/>
    <w:rsid w:val="21661111"/>
    <w:rsid w:val="21EE2624"/>
    <w:rsid w:val="23D77FA4"/>
    <w:rsid w:val="24197569"/>
    <w:rsid w:val="2A043D84"/>
    <w:rsid w:val="2A3D5940"/>
    <w:rsid w:val="2BB20A80"/>
    <w:rsid w:val="2D473EFE"/>
    <w:rsid w:val="2E1413FF"/>
    <w:rsid w:val="31C250C8"/>
    <w:rsid w:val="342D0001"/>
    <w:rsid w:val="35377AB9"/>
    <w:rsid w:val="35C12962"/>
    <w:rsid w:val="36356EAC"/>
    <w:rsid w:val="37130FE3"/>
    <w:rsid w:val="378C012D"/>
    <w:rsid w:val="38421659"/>
    <w:rsid w:val="391B4F8D"/>
    <w:rsid w:val="394207DB"/>
    <w:rsid w:val="3B56320E"/>
    <w:rsid w:val="3B702097"/>
    <w:rsid w:val="3E407CE8"/>
    <w:rsid w:val="409F2D25"/>
    <w:rsid w:val="41481ED3"/>
    <w:rsid w:val="42141B9B"/>
    <w:rsid w:val="426A7BCE"/>
    <w:rsid w:val="43611640"/>
    <w:rsid w:val="440C3582"/>
    <w:rsid w:val="448434D9"/>
    <w:rsid w:val="448F18FC"/>
    <w:rsid w:val="44945650"/>
    <w:rsid w:val="46C40A3A"/>
    <w:rsid w:val="47A05AAA"/>
    <w:rsid w:val="4AEF475E"/>
    <w:rsid w:val="4C935F3D"/>
    <w:rsid w:val="4CCC0113"/>
    <w:rsid w:val="4EE6170D"/>
    <w:rsid w:val="51A62C6F"/>
    <w:rsid w:val="550B1D3D"/>
    <w:rsid w:val="56466840"/>
    <w:rsid w:val="56982E14"/>
    <w:rsid w:val="5902641E"/>
    <w:rsid w:val="5AF400E5"/>
    <w:rsid w:val="5D4B0BE0"/>
    <w:rsid w:val="5FA01104"/>
    <w:rsid w:val="5FF170A2"/>
    <w:rsid w:val="61ED1CAB"/>
    <w:rsid w:val="633839B4"/>
    <w:rsid w:val="6436423C"/>
    <w:rsid w:val="646B3552"/>
    <w:rsid w:val="652303E3"/>
    <w:rsid w:val="67430B7A"/>
    <w:rsid w:val="678A222B"/>
    <w:rsid w:val="67D113D6"/>
    <w:rsid w:val="67E956CD"/>
    <w:rsid w:val="68A87B77"/>
    <w:rsid w:val="69E6594B"/>
    <w:rsid w:val="6A9A30D8"/>
    <w:rsid w:val="6B923E7E"/>
    <w:rsid w:val="6C9C3206"/>
    <w:rsid w:val="6CF32868"/>
    <w:rsid w:val="6F72024E"/>
    <w:rsid w:val="71033402"/>
    <w:rsid w:val="723E2669"/>
    <w:rsid w:val="743374C1"/>
    <w:rsid w:val="75114B05"/>
    <w:rsid w:val="755C6E6D"/>
    <w:rsid w:val="76123086"/>
    <w:rsid w:val="77B016F4"/>
    <w:rsid w:val="78F31E56"/>
    <w:rsid w:val="790F2103"/>
    <w:rsid w:val="797B56E2"/>
    <w:rsid w:val="7AAB3520"/>
    <w:rsid w:val="7ADA5E39"/>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5"/>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afterLines="0" w:afterAutospacing="0"/>
      <w:ind w:left="420" w:leftChars="200"/>
    </w:p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2"/>
    <w:basedOn w:val="1"/>
    <w:qFormat/>
    <w:uiPriority w:val="0"/>
    <w:pPr>
      <w:snapToGrid w:val="0"/>
      <w:spacing w:line="420" w:lineRule="exact"/>
      <w:ind w:firstLine="48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4"/>
    <w:qFormat/>
    <w:uiPriority w:val="0"/>
  </w:style>
  <w:style w:type="paragraph" w:styleId="11">
    <w:name w:val="Body Text First Indent 2"/>
    <w:basedOn w:val="6"/>
    <w:next w:val="1"/>
    <w:qFormat/>
    <w:uiPriority w:val="0"/>
    <w:pPr>
      <w:ind w:firstLine="420" w:firstLineChars="200"/>
    </w:pPr>
  </w:style>
  <w:style w:type="paragraph" w:customStyle="1" w:styleId="14">
    <w:name w:val="Default"/>
    <w:basedOn w:val="15"/>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5">
    <w:name w:val="纯文本1"/>
    <w:basedOn w:val="1"/>
    <w:qFormat/>
    <w:uiPriority w:val="0"/>
    <w:pPr>
      <w:tabs>
        <w:tab w:val="left" w:pos="1845"/>
      </w:tabs>
      <w:spacing w:line="240" w:lineRule="exact"/>
      <w:jc w:val="center"/>
    </w:pPr>
    <w:rPr>
      <w:sz w:val="18"/>
    </w:rPr>
  </w:style>
  <w:style w:type="paragraph" w:customStyle="1" w:styleId="1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1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8">
    <w:name w:val="样式5"/>
    <w:basedOn w:val="3"/>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9">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0">
    <w:name w:val="Normal Indent1"/>
    <w:basedOn w:val="1"/>
    <w:qFormat/>
    <w:uiPriority w:val="0"/>
    <w:pPr>
      <w:ind w:firstLine="420" w:firstLineChars="200"/>
    </w:pPr>
  </w:style>
  <w:style w:type="paragraph" w:customStyle="1" w:styleId="21">
    <w:name w:val="BodyText"/>
    <w:basedOn w:val="1"/>
    <w:qFormat/>
    <w:uiPriority w:val="0"/>
    <w:pPr>
      <w:spacing w:after="120"/>
      <w:jc w:val="both"/>
      <w:textAlignment w:val="baseline"/>
    </w:pPr>
  </w:style>
  <w:style w:type="character" w:customStyle="1" w:styleId="22">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3">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5">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1541</Words>
  <Characters>1645</Characters>
  <Lines>0</Lines>
  <Paragraphs>0</Paragraphs>
  <TotalTime>0</TotalTime>
  <ScaleCrop>false</ScaleCrop>
  <LinksUpToDate>false</LinksUpToDate>
  <CharactersWithSpaces>1724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2025-12-30T09:51:00Z</cp:lastPrinted>
  <dcterms:modified xsi:type="dcterms:W3CDTF">2026-01-16T04:41:06Z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55FB035DDC1C4EF3B27338BF65224DDE_13</vt:lpwstr>
  </property>
  <property fmtid="{D5CDD505-2E9C-101B-9397-08002B2CF9AE}" pid="4" name="KSOTemplateDocerSaveRecord">
    <vt:lpwstr>eyJoZGlkIjoiOTA3YWNiNGY5NTYwYmI5ZWExYmVjZmZhYzE1YmNiMmUiLCJ1c2VySWQiOiI0NDQ3ODQwNzcifQ==</vt:lpwstr>
  </property>
</Properties>
</file>