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5261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Times New Roman" w:hAnsi="Times New Roman" w:eastAsia="方正小标宋简体" w:cs="Times New Roman"/>
          <w:sz w:val="44"/>
          <w:szCs w:val="44"/>
          <w:lang w:val="en-US" w:eastAsia="zh-CN"/>
        </w:rPr>
        <w:t>关于年产EPS自保温砌块100万平</w:t>
      </w:r>
      <w:r>
        <w:rPr>
          <w:rFonts w:hint="eastAsia" w:eastAsia="方正小标宋简体" w:cs="Times New Roman"/>
          <w:sz w:val="44"/>
          <w:szCs w:val="44"/>
          <w:lang w:val="en-US" w:eastAsia="zh-CN"/>
        </w:rPr>
        <w:t>方</w:t>
      </w:r>
      <w:r>
        <w:rPr>
          <w:rFonts w:hint="eastAsia" w:ascii="Times New Roman" w:hAnsi="Times New Roman" w:eastAsia="方正小标宋简体" w:cs="Times New Roman"/>
          <w:sz w:val="44"/>
          <w:szCs w:val="44"/>
          <w:lang w:val="en-US" w:eastAsia="zh-CN"/>
        </w:rPr>
        <w:t>米建设项目—新增砂石料及水稳线生产</w:t>
      </w:r>
      <w:r>
        <w:rPr>
          <w:rFonts w:hint="default" w:ascii="Times New Roman" w:hAnsi="Times New Roman" w:eastAsia="方正小标宋简体" w:cs="Times New Roman"/>
          <w:b w:val="0"/>
          <w:bCs w:val="0"/>
          <w:color w:val="auto"/>
          <w:spacing w:val="-20"/>
          <w:sz w:val="44"/>
          <w:szCs w:val="44"/>
          <w:lang w:val="en-US" w:eastAsia="zh-CN"/>
        </w:rPr>
        <w:t>环境影响报告表</w:t>
      </w:r>
      <w:r>
        <w:rPr>
          <w:rFonts w:hint="eastAsia" w:ascii="方正小标宋简体" w:hAnsi="方正小标宋简体" w:eastAsia="方正小标宋简体" w:cs="方正小标宋简体"/>
          <w:sz w:val="44"/>
          <w:szCs w:val="44"/>
          <w:lang w:val="en-US" w:eastAsia="zh-CN"/>
        </w:rPr>
        <w:t>的批复</w:t>
      </w:r>
    </w:p>
    <w:p w14:paraId="67C52F6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61DE081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新疆恒星创业建材科技发展有限公司：</w:t>
      </w:r>
    </w:p>
    <w:p w14:paraId="5663E4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安徽碧波天朗环境工程有限公司编制的《年产EPS自保温砌块100万平方米建设项目—新增砂石料及水稳线生产环境影响报告表》（以下简称《报告表》）收悉。根据《中华人民共和国行政许可法》第三十八条第一款、《中华人民共和国环境影响评价法》第二十二条第三款，经审查，现批复如下</w:t>
      </w:r>
      <w:r>
        <w:rPr>
          <w:rFonts w:hint="eastAsia" w:ascii="Times New Roman" w:hAnsi="Times New Roman" w:eastAsia="仿宋_GB2312" w:cs="Times New Roman"/>
          <w:color w:val="auto"/>
          <w:sz w:val="32"/>
          <w:szCs w:val="32"/>
          <w:lang w:val="en-US" w:eastAsia="zh-CN"/>
        </w:rPr>
        <w:t>：</w:t>
      </w:r>
    </w:p>
    <w:p w14:paraId="128582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一、本项目位于新疆生产建设兵团乌鲁木齐工业园区茉莉一街3号。厂址中心地理坐标为东经87°21'28.718″，北纬43°45'59.348″。</w:t>
      </w:r>
      <w:r>
        <w:rPr>
          <w:rFonts w:hint="eastAsia" w:eastAsia="仿宋_GB2312" w:cs="Times New Roman"/>
          <w:color w:val="auto"/>
          <w:sz w:val="32"/>
          <w:szCs w:val="32"/>
          <w:lang w:val="en-US" w:eastAsia="zh-CN"/>
        </w:rPr>
        <w:t>厂区</w:t>
      </w:r>
      <w:r>
        <w:rPr>
          <w:rFonts w:hint="eastAsia" w:ascii="Times New Roman" w:hAnsi="Times New Roman" w:eastAsia="仿宋_GB2312" w:cs="Times New Roman"/>
          <w:color w:val="auto"/>
          <w:sz w:val="32"/>
          <w:szCs w:val="32"/>
          <w:lang w:val="en-US" w:eastAsia="zh-CN"/>
        </w:rPr>
        <w:t>东侧为新疆联合盛鑫工程管理有限公司，南侧隔茉莉一街</w:t>
      </w:r>
      <w:r>
        <w:rPr>
          <w:rFonts w:hint="eastAsia" w:eastAsia="仿宋_GB2312" w:cs="Times New Roman"/>
          <w:color w:val="auto"/>
          <w:sz w:val="32"/>
          <w:szCs w:val="32"/>
          <w:lang w:val="en-US" w:eastAsia="zh-CN"/>
        </w:rPr>
        <w:t>为</w:t>
      </w:r>
      <w:r>
        <w:rPr>
          <w:rFonts w:hint="eastAsia" w:ascii="Times New Roman" w:hAnsi="Times New Roman" w:eastAsia="仿宋_GB2312" w:cs="Times New Roman"/>
          <w:color w:val="auto"/>
          <w:sz w:val="32"/>
          <w:szCs w:val="32"/>
          <w:lang w:val="en-US" w:eastAsia="zh-CN"/>
        </w:rPr>
        <w:t>新疆天荣腾辉新型建材有限公司，北侧为新疆路通汇能建材有限公司，西侧为空地。</w:t>
      </w:r>
    </w:p>
    <w:p w14:paraId="6A0210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建设内容：本项目建设性质为改、扩建。在现有厂房的基础上新建两栋生产厂房用于本项目生产</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项目建成后，年产水稳料10万吨、机制砂12万吨和成品碎石36.553万吨，其中碎石产品中8.553万吨用于水稳料原料。冬季采用电采暖。</w:t>
      </w:r>
    </w:p>
    <w:p w14:paraId="64FAB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本项目总投资</w:t>
      </w:r>
      <w:r>
        <w:rPr>
          <w:rFonts w:hint="eastAsia" w:eastAsia="仿宋_GB2312" w:cs="Times New Roman"/>
          <w:bCs/>
          <w:color w:val="auto"/>
          <w:kern w:val="2"/>
          <w:sz w:val="32"/>
          <w:szCs w:val="32"/>
          <w:u w:color="000000"/>
          <w:lang w:val="en-US" w:eastAsia="zh-CN" w:bidi="ar-SA"/>
        </w:rPr>
        <w:t>2000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环保投资</w:t>
      </w:r>
      <w:r>
        <w:rPr>
          <w:rFonts w:hint="eastAsia" w:cs="Times New Roman"/>
          <w:bCs/>
          <w:color w:val="auto"/>
          <w:kern w:val="2"/>
          <w:sz w:val="32"/>
          <w:szCs w:val="32"/>
          <w:highlight w:val="none"/>
          <w:u w:color="000000"/>
          <w:lang w:val="en-US" w:eastAsia="zh-CN" w:bidi="ar-SA"/>
        </w:rPr>
        <w:t>77</w:t>
      </w:r>
      <w:r>
        <w:rPr>
          <w:rFonts w:hint="default" w:ascii="Times New Roman" w:hAnsi="Times New Roman" w:eastAsia="仿宋_GB2312" w:cs="Times New Roman"/>
          <w:color w:val="auto"/>
          <w:sz w:val="32"/>
          <w:szCs w:val="32"/>
          <w:highlight w:val="none"/>
          <w:lang w:val="en-US" w:eastAsia="zh-CN"/>
        </w:rPr>
        <w:t>万元，占总投资</w:t>
      </w:r>
      <w:r>
        <w:rPr>
          <w:rFonts w:hint="eastAsia" w:cs="Times New Roman"/>
          <w:bCs/>
          <w:color w:val="auto"/>
          <w:kern w:val="2"/>
          <w:sz w:val="32"/>
          <w:szCs w:val="32"/>
          <w:highlight w:val="none"/>
          <w:u w:color="000000"/>
          <w:lang w:val="en-US" w:eastAsia="zh-CN" w:bidi="ar-SA"/>
        </w:rPr>
        <w:t>3.85</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w:t>
      </w:r>
    </w:p>
    <w:p w14:paraId="0EBDF28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03BF5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在全面落实《报告表》中提出的各项防治生态破坏和环境污染措施的前提下，项目建设对环境的不利影响能够得到缓解和控制。我局原则同意《报告表》中所列建设项目的性质、规模、地点和拟采取的环境保护措施。</w:t>
      </w:r>
    </w:p>
    <w:p w14:paraId="0AB3B389">
      <w:pPr>
        <w:pStyle w:val="30"/>
        <w:keepNext w:val="0"/>
        <w:keepLines w:val="0"/>
        <w:pageBreakBefore w:val="0"/>
        <w:numPr>
          <w:ilvl w:val="0"/>
          <w:numId w:val="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在项目设计、建设、运营和环境管理中要认真落实《报告</w:t>
      </w:r>
      <w:r>
        <w:rPr>
          <w:rFonts w:hint="default" w:eastAsia="仿宋_GB2312" w:cs="Times New Roman"/>
          <w:color w:val="auto"/>
          <w:sz w:val="32"/>
          <w:szCs w:val="32"/>
          <w:highlight w:val="none"/>
          <w:lang w:val="en-US" w:eastAsia="zh-CN"/>
        </w:rPr>
        <w:t>表</w:t>
      </w:r>
      <w:r>
        <w:rPr>
          <w:rFonts w:hint="default" w:ascii="Times New Roman" w:hAnsi="Times New Roman" w:eastAsia="仿宋_GB2312" w:cs="Times New Roman"/>
          <w:color w:val="auto"/>
          <w:sz w:val="32"/>
          <w:szCs w:val="32"/>
          <w:highlight w:val="none"/>
          <w:lang w:val="en-US" w:eastAsia="zh-CN"/>
        </w:rPr>
        <w:t>》提出的各项环保要求，严格执行环保</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三同时</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制度，确保污染物稳定达标排放，并达到以下要求：</w:t>
      </w:r>
    </w:p>
    <w:p w14:paraId="2ABB4608">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w:t>
      </w:r>
      <w:r>
        <w:rPr>
          <w:rFonts w:hint="default" w:eastAsia="仿宋_GB2312" w:cs="Times New Roman"/>
          <w:color w:val="auto"/>
          <w:sz w:val="32"/>
          <w:szCs w:val="32"/>
          <w:highlight w:val="none"/>
          <w:lang w:val="en-US" w:eastAsia="zh-CN"/>
        </w:rPr>
        <w:t>落</w:t>
      </w:r>
      <w:r>
        <w:rPr>
          <w:rFonts w:hint="default" w:ascii="Times New Roman" w:hAnsi="Times New Roman" w:eastAsia="仿宋_GB2312" w:cs="Times New Roman"/>
          <w:color w:val="auto"/>
          <w:sz w:val="32"/>
          <w:szCs w:val="32"/>
          <w:highlight w:val="none"/>
          <w:lang w:val="en-US" w:eastAsia="zh-CN"/>
        </w:rPr>
        <w:t>实废气污染防治措施。本项目有组织废气主要为颗粒物。碎石生产线投料、破碎和水稳料搅拌投料口设置高压雾化喷淋抑尘，同步采用集气罩收集粉尘；筛分设备全密闭</w:t>
      </w:r>
      <w:r>
        <w:rPr>
          <w:rFonts w:hint="eastAsia" w:eastAsia="仿宋_GB2312" w:cs="Times New Roman"/>
          <w:color w:val="auto"/>
          <w:sz w:val="32"/>
          <w:szCs w:val="32"/>
          <w:highlight w:val="none"/>
          <w:lang w:val="en-US" w:eastAsia="zh-CN"/>
        </w:rPr>
        <w:t>。筛分设备产生的粉尘和</w:t>
      </w:r>
      <w:r>
        <w:rPr>
          <w:rFonts w:hint="default" w:ascii="Times New Roman" w:hAnsi="Times New Roman" w:eastAsia="仿宋_GB2312" w:cs="Times New Roman"/>
          <w:color w:val="auto"/>
          <w:sz w:val="32"/>
          <w:szCs w:val="32"/>
          <w:highlight w:val="none"/>
          <w:lang w:val="en-US" w:eastAsia="zh-CN"/>
        </w:rPr>
        <w:t>水泥稳定土投料粉尘经集气管道收集后经1套袋式除尘器处理，通过1根16米高排气筒（DA002）排放。排放浓度满足《水泥工业大气污染物排放标准》（GB4915-2013）表2大气污染物特别排放限值。</w:t>
      </w:r>
    </w:p>
    <w:p w14:paraId="77746EA8">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机制砂生产线投料口设置高压雾化喷淋抑尘，同步采用集气罩收集粉尘；筛分设备全密闭，产生的粉尘经集气管道收集后经1套袋式除尘器处理，通过1根15米高排气筒（DA003）排放。排放浓度和速率均满足《大气污染物综合排放标准》（GB16297-1996）表2中二级标准。</w:t>
      </w:r>
    </w:p>
    <w:p w14:paraId="13CCFF29">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本项目无组织排放的颗粒物主要为成品堆放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原料堆放、装卸粉尘，水泥筒仓粉尘</w:t>
      </w:r>
      <w:r>
        <w:rPr>
          <w:rFonts w:hint="eastAsia"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。本项目厂界无组织排放颗粒物满足《水泥工业大气污染物排放标准》（GB4915-2013）表3大气污染物无组织排放限值。</w:t>
      </w:r>
    </w:p>
    <w:p w14:paraId="3E6379BB">
      <w:pPr>
        <w:pStyle w:val="14"/>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落实废水污染防治措施。本项目运营期废水主要为生产废水和生活污水。生产废水主要为洗砂废水、搅拌机清洗废水经沉淀后全部回用，不外排</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车辆冲洗废水预先经隔油预处理后回用</w:t>
      </w:r>
      <w:r>
        <w:rPr>
          <w:rFonts w:hint="eastAsia" w:ascii="Times New Roman" w:hAnsi="Times New Roman" w:eastAsia="仿宋_GB2312" w:cs="Times New Roman"/>
          <w:color w:val="auto"/>
          <w:sz w:val="32"/>
          <w:szCs w:val="32"/>
          <w:highlight w:val="none"/>
          <w:lang w:val="en-US" w:eastAsia="zh-CN"/>
        </w:rPr>
        <w:t>。餐饮废水经隔油池处理后，与生活污水一并进入化粪池处理，经园区排水管网排入兵团乌鲁木齐工业园区污水处理厂处理后排放。</w:t>
      </w:r>
      <w:r>
        <w:rPr>
          <w:rFonts w:hint="default" w:ascii="Times New Roman" w:hAnsi="Times New Roman" w:eastAsia="仿宋_GB2312" w:cs="Times New Roman"/>
          <w:color w:val="auto"/>
          <w:sz w:val="32"/>
          <w:szCs w:val="32"/>
          <w:highlight w:val="none"/>
          <w:lang w:val="en-US" w:eastAsia="zh-CN"/>
        </w:rPr>
        <w:t>满足《污水综合排放标准》（GB8978-1996）表4中三级标准</w:t>
      </w:r>
      <w:r>
        <w:rPr>
          <w:rFonts w:hint="eastAsia" w:ascii="Times New Roman" w:hAnsi="Times New Roman" w:eastAsia="仿宋_GB2312" w:cs="Times New Roman"/>
          <w:bCs/>
          <w:color w:val="000000" w:themeColor="text1"/>
          <w:spacing w:val="-8"/>
          <w:kern w:val="2"/>
          <w:sz w:val="32"/>
          <w:szCs w:val="32"/>
          <w:u w:val="none" w:color="000000"/>
          <w:lang w:val="zh-TW" w:eastAsia="zh-CN" w:bidi="ar-SA"/>
          <w14:textFill>
            <w14:solidFill>
              <w14:schemeClr w14:val="tx1"/>
            </w14:solidFill>
          </w14:textFill>
        </w:rPr>
        <w:t>。</w:t>
      </w:r>
    </w:p>
    <w:p w14:paraId="53623EE8">
      <w:pPr>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pacing w:val="0"/>
          <w:sz w:val="32"/>
          <w:szCs w:val="32"/>
          <w:highlight w:val="none"/>
          <w:u w:val="none" w:color="auto"/>
          <w:lang w:val="en-US" w:eastAsia="zh-CN"/>
        </w:rPr>
        <w:t>落实噪声污染防治措施。本项目运营期噪声源主要为给料机、颚式破碎机、水平振动筛等设备产生的机械噪声。产噪设备均在厂房内布置，采取减振、隔声等措施。</w:t>
      </w:r>
      <w:r>
        <w:rPr>
          <w:rFonts w:hint="default" w:ascii="Times New Roman" w:hAnsi="Times New Roman" w:eastAsia="仿宋_GB2312" w:cs="Times New Roman"/>
          <w:bCs/>
          <w:color w:val="auto"/>
          <w:kern w:val="2"/>
          <w:sz w:val="32"/>
          <w:szCs w:val="32"/>
          <w:u w:color="000000"/>
          <w:lang w:val="en-US" w:eastAsia="zh-CN" w:bidi="ar-SA"/>
        </w:rPr>
        <w:t>满足《工业企业厂界环境噪声排放标准》（GB12348-2008）中3类标准要求。</w:t>
      </w:r>
    </w:p>
    <w:p w14:paraId="3E76B1BB">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lang w:val="en-US" w:eastAsia="zh-CN"/>
        </w:rPr>
        <w:t>（四）落实固废污染防治措施。</w:t>
      </w:r>
      <w:r>
        <w:rPr>
          <w:rFonts w:hint="default" w:ascii="Times New Roman" w:hAnsi="Times New Roman" w:eastAsia="仿宋_GB2312" w:cs="Times New Roman"/>
          <w:color w:val="auto"/>
          <w:sz w:val="32"/>
          <w:szCs w:val="32"/>
          <w:highlight w:val="none"/>
          <w:u w:val="none" w:color="auto"/>
          <w:lang w:val="en-US" w:eastAsia="zh-CN"/>
        </w:rPr>
        <w:t>本项目运营期一般工业固体废物除尘器收集粉尘、沉淀池泥饼外售处理</w:t>
      </w:r>
      <w:r>
        <w:rPr>
          <w:rFonts w:hint="eastAsia"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废滤袋由资源回收单位直接回收处理。生活垃圾集中收集后，交环卫部门清运处置。</w:t>
      </w:r>
    </w:p>
    <w:p w14:paraId="19574668">
      <w:pPr>
        <w:keepNext w:val="0"/>
        <w:keepLines w:val="0"/>
        <w:pageBreakBefore w:val="0"/>
        <w:kinsoku/>
        <w:wordWrap/>
        <w:overflowPunct/>
        <w:topLinePunct w:val="0"/>
        <w:autoSpaceDE/>
        <w:autoSpaceDN/>
        <w:bidi w:val="0"/>
        <w:snapToGrid/>
        <w:spacing w:line="560" w:lineRule="exact"/>
        <w:ind w:firstLine="641"/>
        <w:rPr>
          <w:rFonts w:hint="default" w:ascii="Times New Roman" w:hAnsi="Times New Roman" w:eastAsia="仿宋_GB2312" w:cs="Times New Roman"/>
          <w:bCs/>
          <w:color w:val="auto"/>
          <w:kern w:val="2"/>
          <w:sz w:val="32"/>
          <w:szCs w:val="32"/>
          <w:u w:color="000000"/>
          <w:lang w:val="en-US" w:eastAsia="zh-CN" w:bidi="ar-SA"/>
        </w:rPr>
      </w:pPr>
      <w:r>
        <w:rPr>
          <w:rFonts w:hint="default" w:ascii="Times New Roman" w:hAnsi="Times New Roman" w:eastAsia="仿宋_GB2312" w:cs="Times New Roman"/>
          <w:bCs/>
          <w:color w:val="auto"/>
          <w:kern w:val="2"/>
          <w:sz w:val="32"/>
          <w:szCs w:val="32"/>
          <w:u w:color="000000"/>
          <w:lang w:val="en-US" w:eastAsia="zh-CN" w:bidi="ar-SA"/>
        </w:rPr>
        <w:t>废润滑油、废油桶、废含油手套及抹布、油泥，分类暂存于危险废物</w:t>
      </w:r>
      <w:r>
        <w:rPr>
          <w:rFonts w:hint="eastAsia" w:eastAsia="仿宋_GB2312" w:cs="Times New Roman"/>
          <w:bCs/>
          <w:color w:val="auto"/>
          <w:kern w:val="2"/>
          <w:sz w:val="32"/>
          <w:szCs w:val="32"/>
          <w:u w:color="000000"/>
          <w:lang w:val="en-US" w:eastAsia="zh-CN" w:bidi="ar-SA"/>
        </w:rPr>
        <w:t>贮存</w:t>
      </w:r>
      <w:r>
        <w:rPr>
          <w:rFonts w:hint="default" w:ascii="Times New Roman" w:hAnsi="Times New Roman" w:eastAsia="仿宋_GB2312" w:cs="Times New Roman"/>
          <w:bCs/>
          <w:color w:val="auto"/>
          <w:kern w:val="2"/>
          <w:sz w:val="32"/>
          <w:szCs w:val="32"/>
          <w:u w:color="000000"/>
          <w:lang w:val="en-US" w:eastAsia="zh-CN" w:bidi="ar-SA"/>
        </w:rPr>
        <w:t>间，委托有资质单位进行处理。危险废物贮存</w:t>
      </w:r>
      <w:r>
        <w:rPr>
          <w:rFonts w:hint="eastAsia" w:eastAsia="仿宋_GB2312" w:cs="Times New Roman"/>
          <w:bCs/>
          <w:color w:val="auto"/>
          <w:kern w:val="2"/>
          <w:sz w:val="32"/>
          <w:szCs w:val="32"/>
          <w:u w:color="000000"/>
          <w:lang w:val="en-US" w:eastAsia="zh-CN" w:bidi="ar-SA"/>
        </w:rPr>
        <w:t>间</w:t>
      </w:r>
      <w:r>
        <w:rPr>
          <w:rFonts w:hint="default" w:ascii="Times New Roman" w:hAnsi="Times New Roman" w:eastAsia="仿宋_GB2312" w:cs="Times New Roman"/>
          <w:bCs/>
          <w:color w:val="auto"/>
          <w:kern w:val="2"/>
          <w:sz w:val="32"/>
          <w:szCs w:val="32"/>
          <w:u w:color="000000"/>
          <w:lang w:val="en-US" w:eastAsia="zh-CN" w:bidi="ar-SA"/>
        </w:rPr>
        <w:t>建设要求满足《危险废物贮存污染控制标准》（GB18597-2023）中相关要求。</w:t>
      </w:r>
    </w:p>
    <w:p w14:paraId="713D07B2">
      <w:pPr>
        <w:pStyle w:val="18"/>
        <w:keepNext w:val="0"/>
        <w:keepLines w:val="0"/>
        <w:pageBreakBefore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b w:val="0"/>
          <w:bCs/>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highlight w:val="none"/>
          <w:u w:val="none"/>
          <w:lang w:val="en-US" w:eastAsia="zh-CN"/>
        </w:rPr>
        <w:t>（五）落实环境管理规章制度和环境监测计划。施工期开展环境监理，定期提交工程环境监理报告。对沿线敏感目标噪声实施跟踪监测，根据敏感点实际情况和监测结果及时增补和完善防治措施。</w:t>
      </w:r>
    </w:p>
    <w:p w14:paraId="27116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环评文件有严重质量问题等情形的，我局可依法撤销行政许可决定，对存在的违法行为依法查处。</w:t>
      </w:r>
    </w:p>
    <w:p w14:paraId="041F4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highlight w:val="none"/>
          <w:lang w:val="en-US" w:eastAsia="zh-CN"/>
        </w:rPr>
        <w:t>项目竣工后</w:t>
      </w:r>
      <w:r>
        <w:rPr>
          <w:rFonts w:hint="default" w:ascii="Times New Roman" w:hAnsi="Times New Roman" w:eastAsia="仿宋_GB2312" w:cs="Times New Roman"/>
          <w:color w:val="auto"/>
          <w:sz w:val="32"/>
          <w:szCs w:val="32"/>
          <w:lang w:val="en-US" w:eastAsia="zh-CN"/>
        </w:rPr>
        <w:t>正式运营前，根据《排污许可管理条例》依法办理排污许可手续，并对配套建设的环境保护设施进行验收，经验收合格后方可投入运行，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45B12C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w:t>
      </w:r>
      <w:r>
        <w:rPr>
          <w:rStyle w:val="28"/>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7167FB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2EC11E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E00DE42-F519-4C14-BB69-0F59CFA936D2}"/>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531875FE-0A96-4384-A971-B8BF7AE82B24}"/>
  </w:font>
  <w:font w:name="WPSEMBED3">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3E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57C9A">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98243479"/>
    <w:multiLevelType w:val="multilevel"/>
    <w:tmpl w:val="98243479"/>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B6B1761"/>
    <w:multiLevelType w:val="singleLevel"/>
    <w:tmpl w:val="4B6B176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2U3ODBlY2MzNDk5YmZlMmU4ZDNlYTA3MjRjNjYifQ=="/>
    <w:docVar w:name="KSO_WPS_MARK_KEY" w:val="78d1c1cb-527e-4026-8f9a-c7cbb82ce8a0"/>
  </w:docVars>
  <w:rsids>
    <w:rsidRoot w:val="209C6FB6"/>
    <w:rsid w:val="000B7C11"/>
    <w:rsid w:val="01954E03"/>
    <w:rsid w:val="0303427A"/>
    <w:rsid w:val="03343D40"/>
    <w:rsid w:val="036B03E5"/>
    <w:rsid w:val="03B818B8"/>
    <w:rsid w:val="0418546F"/>
    <w:rsid w:val="0431202E"/>
    <w:rsid w:val="049F51EA"/>
    <w:rsid w:val="04B54A0D"/>
    <w:rsid w:val="04B930B4"/>
    <w:rsid w:val="053613BF"/>
    <w:rsid w:val="073B0880"/>
    <w:rsid w:val="07592C22"/>
    <w:rsid w:val="076E74DB"/>
    <w:rsid w:val="07DD39B1"/>
    <w:rsid w:val="09A65D5E"/>
    <w:rsid w:val="0A300945"/>
    <w:rsid w:val="0BC57258"/>
    <w:rsid w:val="0BDF05C2"/>
    <w:rsid w:val="0C211C5A"/>
    <w:rsid w:val="0DA67DA3"/>
    <w:rsid w:val="0DC736EF"/>
    <w:rsid w:val="0DE620DB"/>
    <w:rsid w:val="0E3A5F83"/>
    <w:rsid w:val="0E9B4DA8"/>
    <w:rsid w:val="0EA801FA"/>
    <w:rsid w:val="10705587"/>
    <w:rsid w:val="10A4745D"/>
    <w:rsid w:val="1130362F"/>
    <w:rsid w:val="12404419"/>
    <w:rsid w:val="12C64D9E"/>
    <w:rsid w:val="132F6CC0"/>
    <w:rsid w:val="1483206F"/>
    <w:rsid w:val="14FD529D"/>
    <w:rsid w:val="152E726E"/>
    <w:rsid w:val="15447BCF"/>
    <w:rsid w:val="15B71C1A"/>
    <w:rsid w:val="17712A16"/>
    <w:rsid w:val="17FD79ED"/>
    <w:rsid w:val="184A2555"/>
    <w:rsid w:val="185B5474"/>
    <w:rsid w:val="1A1B029D"/>
    <w:rsid w:val="1BA54230"/>
    <w:rsid w:val="1BDC1A17"/>
    <w:rsid w:val="1CAE56BC"/>
    <w:rsid w:val="1D37451A"/>
    <w:rsid w:val="1EDF0A99"/>
    <w:rsid w:val="1F6B0692"/>
    <w:rsid w:val="1F811721"/>
    <w:rsid w:val="1F8F686F"/>
    <w:rsid w:val="1FC030C2"/>
    <w:rsid w:val="1FEF24D8"/>
    <w:rsid w:val="20232162"/>
    <w:rsid w:val="20920B1E"/>
    <w:rsid w:val="209C6FB6"/>
    <w:rsid w:val="21A71CFD"/>
    <w:rsid w:val="21EE2624"/>
    <w:rsid w:val="22FC519D"/>
    <w:rsid w:val="23D77FA4"/>
    <w:rsid w:val="24197569"/>
    <w:rsid w:val="24DF43F3"/>
    <w:rsid w:val="277C3179"/>
    <w:rsid w:val="27A72484"/>
    <w:rsid w:val="28B30D34"/>
    <w:rsid w:val="2A043D84"/>
    <w:rsid w:val="2A3D5940"/>
    <w:rsid w:val="2BB20A80"/>
    <w:rsid w:val="2C526A72"/>
    <w:rsid w:val="2C6F3531"/>
    <w:rsid w:val="2D473EFE"/>
    <w:rsid w:val="2E1413FF"/>
    <w:rsid w:val="31C250C8"/>
    <w:rsid w:val="32CB48A0"/>
    <w:rsid w:val="3423108D"/>
    <w:rsid w:val="342D0001"/>
    <w:rsid w:val="35377AB9"/>
    <w:rsid w:val="353B1465"/>
    <w:rsid w:val="35796375"/>
    <w:rsid w:val="36356EAC"/>
    <w:rsid w:val="37130FE3"/>
    <w:rsid w:val="37360960"/>
    <w:rsid w:val="378857B3"/>
    <w:rsid w:val="378C012D"/>
    <w:rsid w:val="37ED6CAA"/>
    <w:rsid w:val="38421659"/>
    <w:rsid w:val="394207DB"/>
    <w:rsid w:val="3A7A6DCD"/>
    <w:rsid w:val="3B56320E"/>
    <w:rsid w:val="3B702097"/>
    <w:rsid w:val="3CD13EDB"/>
    <w:rsid w:val="3E407CE8"/>
    <w:rsid w:val="3EFC3218"/>
    <w:rsid w:val="409F2D25"/>
    <w:rsid w:val="41481ED3"/>
    <w:rsid w:val="42141B9B"/>
    <w:rsid w:val="426A7BCE"/>
    <w:rsid w:val="43611640"/>
    <w:rsid w:val="440C3582"/>
    <w:rsid w:val="448434D9"/>
    <w:rsid w:val="457C4008"/>
    <w:rsid w:val="46C40A3A"/>
    <w:rsid w:val="4735463A"/>
    <w:rsid w:val="47A05AAA"/>
    <w:rsid w:val="483671E0"/>
    <w:rsid w:val="494C3228"/>
    <w:rsid w:val="4AEF475E"/>
    <w:rsid w:val="4C1D505D"/>
    <w:rsid w:val="4C935F3D"/>
    <w:rsid w:val="4CB30DFF"/>
    <w:rsid w:val="4CCC0113"/>
    <w:rsid w:val="4E497B5F"/>
    <w:rsid w:val="4EC65308"/>
    <w:rsid w:val="4EE6170D"/>
    <w:rsid w:val="51A62C6F"/>
    <w:rsid w:val="522C7607"/>
    <w:rsid w:val="550B1D3D"/>
    <w:rsid w:val="559F61B5"/>
    <w:rsid w:val="56466840"/>
    <w:rsid w:val="56982E14"/>
    <w:rsid w:val="573617D2"/>
    <w:rsid w:val="57FD08D3"/>
    <w:rsid w:val="58AC6A92"/>
    <w:rsid w:val="5902641E"/>
    <w:rsid w:val="5B107A78"/>
    <w:rsid w:val="5B5201FC"/>
    <w:rsid w:val="5C9556DA"/>
    <w:rsid w:val="5CE96177"/>
    <w:rsid w:val="5D4B0BE0"/>
    <w:rsid w:val="5D975035"/>
    <w:rsid w:val="5F0A7158"/>
    <w:rsid w:val="5FA01104"/>
    <w:rsid w:val="61ED1CAB"/>
    <w:rsid w:val="632C5E80"/>
    <w:rsid w:val="633839B4"/>
    <w:rsid w:val="637F05E7"/>
    <w:rsid w:val="63E1404C"/>
    <w:rsid w:val="64310526"/>
    <w:rsid w:val="6436423C"/>
    <w:rsid w:val="646B3552"/>
    <w:rsid w:val="652303E3"/>
    <w:rsid w:val="678A222B"/>
    <w:rsid w:val="67D113D6"/>
    <w:rsid w:val="67E956CD"/>
    <w:rsid w:val="68A87B77"/>
    <w:rsid w:val="69E6594B"/>
    <w:rsid w:val="69ED55BD"/>
    <w:rsid w:val="6A9A30D8"/>
    <w:rsid w:val="6AB26975"/>
    <w:rsid w:val="6AE544EF"/>
    <w:rsid w:val="6B923E7E"/>
    <w:rsid w:val="6C9C3206"/>
    <w:rsid w:val="6CF32868"/>
    <w:rsid w:val="6D1A3FF7"/>
    <w:rsid w:val="6DD8026E"/>
    <w:rsid w:val="6F72024E"/>
    <w:rsid w:val="723E2669"/>
    <w:rsid w:val="73BC2374"/>
    <w:rsid w:val="743374C1"/>
    <w:rsid w:val="74E42CE2"/>
    <w:rsid w:val="75114B05"/>
    <w:rsid w:val="755C6E6D"/>
    <w:rsid w:val="76123086"/>
    <w:rsid w:val="7666465D"/>
    <w:rsid w:val="77B016F4"/>
    <w:rsid w:val="77EA1CD8"/>
    <w:rsid w:val="797B56E2"/>
    <w:rsid w:val="79A4094F"/>
    <w:rsid w:val="7AAB3520"/>
    <w:rsid w:val="7C555D07"/>
    <w:rsid w:val="7C7F037E"/>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paragraph" w:styleId="3">
    <w:name w:val="heading 5"/>
    <w:basedOn w:val="1"/>
    <w:next w:val="1"/>
    <w:unhideWhenUsed/>
    <w:qFormat/>
    <w:uiPriority w:val="9"/>
    <w:pPr>
      <w:keepNext/>
      <w:keepLines/>
      <w:numPr>
        <w:ilvl w:val="4"/>
        <w:numId w:val="1"/>
      </w:numPr>
      <w:spacing w:before="50" w:beforeLines="50"/>
      <w:outlineLvl w:val="4"/>
    </w:p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Body Text Indent"/>
    <w:basedOn w:val="1"/>
    <w:next w:val="8"/>
    <w:qFormat/>
    <w:uiPriority w:val="0"/>
    <w:pPr>
      <w:spacing w:after="120" w:afterLines="0" w:afterAutospacing="0"/>
      <w:ind w:left="420" w:leftChars="200"/>
    </w:p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Bullet 5"/>
    <w:basedOn w:val="1"/>
    <w:qFormat/>
    <w:uiPriority w:val="0"/>
    <w:pPr>
      <w:numPr>
        <w:ilvl w:val="0"/>
        <w:numId w:val="2"/>
      </w:numPr>
    </w:p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table of figures"/>
    <w:basedOn w:val="1"/>
    <w:next w:val="1"/>
    <w:qFormat/>
    <w:uiPriority w:val="0"/>
    <w:pPr>
      <w:autoSpaceDE w:val="0"/>
      <w:autoSpaceDN w:val="0"/>
      <w:spacing w:line="240" w:lineRule="auto"/>
      <w:ind w:firstLine="0" w:firstLineChars="0"/>
      <w:jc w:val="center"/>
    </w:pPr>
    <w:rPr>
      <w:b/>
      <w:bCs/>
      <w:iCs/>
    </w:rPr>
  </w:style>
  <w:style w:type="paragraph" w:styleId="13">
    <w:name w:val="Body Text First Indent"/>
    <w:basedOn w:val="6"/>
    <w:qFormat/>
    <w:uiPriority w:val="0"/>
  </w:style>
  <w:style w:type="paragraph" w:styleId="14">
    <w:name w:val="Body Text First Indent 2"/>
    <w:basedOn w:val="7"/>
    <w:next w:val="1"/>
    <w:qFormat/>
    <w:uiPriority w:val="0"/>
    <w:pPr>
      <w:ind w:firstLine="420" w:firstLineChars="2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19"/>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9">
    <w:name w:val="纯文本1"/>
    <w:basedOn w:val="1"/>
    <w:qFormat/>
    <w:uiPriority w:val="0"/>
    <w:pPr>
      <w:tabs>
        <w:tab w:val="left" w:pos="1845"/>
      </w:tabs>
      <w:spacing w:line="240" w:lineRule="exact"/>
      <w:jc w:val="center"/>
    </w:pPr>
    <w:rPr>
      <w:sz w:val="18"/>
    </w:rPr>
  </w:style>
  <w:style w:type="paragraph" w:customStyle="1" w:styleId="20">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21">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4">
    <w:name w:val="样式5"/>
    <w:basedOn w:val="4"/>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5">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6">
    <w:name w:val="Normal Indent1"/>
    <w:basedOn w:val="1"/>
    <w:qFormat/>
    <w:uiPriority w:val="0"/>
    <w:pPr>
      <w:ind w:firstLine="420" w:firstLineChars="200"/>
    </w:pPr>
  </w:style>
  <w:style w:type="paragraph" w:customStyle="1" w:styleId="27">
    <w:name w:val="BodyText"/>
    <w:basedOn w:val="1"/>
    <w:qFormat/>
    <w:uiPriority w:val="0"/>
    <w:pPr>
      <w:spacing w:after="120"/>
      <w:jc w:val="both"/>
      <w:textAlignment w:val="baseline"/>
    </w:pPr>
  </w:style>
  <w:style w:type="character" w:customStyle="1" w:styleId="28">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9">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3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31">
    <w:name w:val="报告1"/>
    <w:basedOn w:val="1"/>
    <w:qFormat/>
    <w:uiPriority w:val="0"/>
    <w:pPr>
      <w:adjustRightInd w:val="0"/>
      <w:spacing w:line="360" w:lineRule="auto"/>
      <w:ind w:firstLine="505"/>
      <w:jc w:val="left"/>
      <w:textAlignment w:val="baseline"/>
    </w:pPr>
    <w:rPr>
      <w:kern w:val="0"/>
      <w:sz w:val="24"/>
    </w:rPr>
  </w:style>
  <w:style w:type="paragraph" w:customStyle="1" w:styleId="32">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1945</Words>
  <Characters>2077</Characters>
  <Lines>0</Lines>
  <Paragraphs>0</Paragraphs>
  <TotalTime>10</TotalTime>
  <ScaleCrop>false</ScaleCrop>
  <LinksUpToDate>false</LinksUpToDate>
  <CharactersWithSpaces>2160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2025-11-27T03:17:00Z</cp:lastPrinted>
  <dcterms:modified xsi:type="dcterms:W3CDTF">2026-04-29T04:46:59Z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CEB69934DD834790A61B0BD089DA48FF_13</vt:lpwstr>
  </property>
  <property fmtid="{D5CDD505-2E9C-101B-9397-08002B2CF9AE}" pid="4" name="KSOTemplateDocerSaveRecord">
    <vt:lpwstr>eyJoZGlkIjoiOTA3YWNiNGY5NTYwYmI5ZWExYmVjZmZhYzE1YmNiMmUiLCJ1c2VySWQiOiI0NDQ3ODQwNzcifQ==</vt:lpwstr>
  </property>
</Properties>
</file>