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A3F8C">
      <w:pPr>
        <w:spacing w:line="420" w:lineRule="exact"/>
        <w:jc w:val="center"/>
        <w:rPr>
          <w:rFonts w:hint="eastAsia" w:ascii="Times New Roman" w:hAnsi="Times New Roman" w:eastAsia="方正小标宋简体" w:cs="Times New Roman"/>
          <w:sz w:val="32"/>
          <w:szCs w:val="32"/>
        </w:rPr>
      </w:pPr>
    </w:p>
    <w:p w14:paraId="5DBA3461">
      <w:pPr>
        <w:spacing w:line="420" w:lineRule="exact"/>
        <w:jc w:val="left"/>
        <w:rPr>
          <w:rFonts w:hint="eastAsia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附件2</w:t>
      </w:r>
    </w:p>
    <w:p w14:paraId="09C07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十二师2026年兵团本级财政常态化帮扶资金</w:t>
      </w:r>
    </w:p>
    <w:p w14:paraId="4A1E4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（开发式帮扶任务）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绩效目标表</w:t>
      </w:r>
    </w:p>
    <w:tbl>
      <w:tblPr>
        <w:tblStyle w:val="5"/>
        <w:tblpPr w:leftFromText="180" w:rightFromText="180" w:vertAnchor="text" w:horzAnchor="page" w:tblpX="1639" w:tblpY="440"/>
        <w:tblOverlap w:val="never"/>
        <w:tblW w:w="49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755"/>
        <w:gridCol w:w="1482"/>
        <w:gridCol w:w="1800"/>
        <w:gridCol w:w="479"/>
        <w:gridCol w:w="585"/>
        <w:gridCol w:w="687"/>
      </w:tblGrid>
      <w:tr w14:paraId="615E4848">
        <w:trPr>
          <w:trHeight w:val="306" w:hRule="atLeast"/>
        </w:trPr>
        <w:tc>
          <w:tcPr>
            <w:tcW w:w="643" w:type="pct"/>
            <w:vAlign w:val="center"/>
          </w:tcPr>
          <w:p w14:paraId="3128A34D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</w:pPr>
            <w:bookmarkStart w:id="0" w:name="_GoBack"/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  <w:t>项目名称</w:t>
            </w:r>
          </w:p>
        </w:tc>
        <w:tc>
          <w:tcPr>
            <w:tcW w:w="4356" w:type="pct"/>
            <w:gridSpan w:val="6"/>
            <w:vAlign w:val="center"/>
          </w:tcPr>
          <w:p w14:paraId="7CBB0348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兵地融合发展轮台产业园农业基地特色林果业建设项目</w:t>
            </w:r>
          </w:p>
        </w:tc>
      </w:tr>
      <w:tr w14:paraId="0BA7530F">
        <w:trPr>
          <w:trHeight w:val="859" w:hRule="atLeast"/>
        </w:trPr>
        <w:tc>
          <w:tcPr>
            <w:tcW w:w="643" w:type="pct"/>
            <w:noWrap/>
            <w:vAlign w:val="center"/>
          </w:tcPr>
          <w:p w14:paraId="4A20BABB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  <w:t>主管部门</w:t>
            </w:r>
          </w:p>
        </w:tc>
        <w:tc>
          <w:tcPr>
            <w:tcW w:w="1541" w:type="pct"/>
            <w:noWrap/>
            <w:vAlign w:val="center"/>
          </w:tcPr>
          <w:p w14:paraId="2E9FAE62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第十二师农业农村局</w:t>
            </w:r>
          </w:p>
        </w:tc>
        <w:tc>
          <w:tcPr>
            <w:tcW w:w="829" w:type="pct"/>
            <w:noWrap/>
            <w:vAlign w:val="center"/>
          </w:tcPr>
          <w:p w14:paraId="6397DCE0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实施单位</w:t>
            </w:r>
          </w:p>
        </w:tc>
        <w:tc>
          <w:tcPr>
            <w:tcW w:w="1007" w:type="pct"/>
            <w:vAlign w:val="center"/>
          </w:tcPr>
          <w:p w14:paraId="1DD21CA2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第十二师兵地融合发展轮台产业园</w:t>
            </w:r>
          </w:p>
        </w:tc>
        <w:tc>
          <w:tcPr>
            <w:tcW w:w="595" w:type="pct"/>
            <w:gridSpan w:val="2"/>
            <w:vAlign w:val="center"/>
          </w:tcPr>
          <w:p w14:paraId="1B4B358A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项目建设性质</w:t>
            </w:r>
          </w:p>
        </w:tc>
        <w:tc>
          <w:tcPr>
            <w:tcW w:w="383" w:type="pct"/>
            <w:vAlign w:val="center"/>
          </w:tcPr>
          <w:p w14:paraId="43D51589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新建</w:t>
            </w:r>
          </w:p>
        </w:tc>
      </w:tr>
      <w:tr w14:paraId="1D806667">
        <w:trPr>
          <w:trHeight w:val="582" w:hRule="atLeast"/>
        </w:trPr>
        <w:tc>
          <w:tcPr>
            <w:tcW w:w="643" w:type="pct"/>
            <w:vMerge w:val="restart"/>
            <w:vAlign w:val="center"/>
          </w:tcPr>
          <w:p w14:paraId="1B0D8919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  <w:t>资金情况（万元）</w:t>
            </w:r>
          </w:p>
        </w:tc>
        <w:tc>
          <w:tcPr>
            <w:tcW w:w="1541" w:type="pct"/>
            <w:noWrap/>
            <w:vAlign w:val="center"/>
          </w:tcPr>
          <w:p w14:paraId="332ADF19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资金来源</w:t>
            </w:r>
          </w:p>
        </w:tc>
        <w:tc>
          <w:tcPr>
            <w:tcW w:w="2815" w:type="pct"/>
            <w:gridSpan w:val="5"/>
            <w:vAlign w:val="center"/>
          </w:tcPr>
          <w:p w14:paraId="6613514E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兵团本级财政常态化帮扶资金</w:t>
            </w:r>
          </w:p>
          <w:p w14:paraId="21CE12EA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（开发式帮扶任务）</w:t>
            </w:r>
          </w:p>
        </w:tc>
      </w:tr>
      <w:tr w14:paraId="27360E31">
        <w:trPr>
          <w:trHeight w:val="306" w:hRule="atLeast"/>
        </w:trPr>
        <w:tc>
          <w:tcPr>
            <w:tcW w:w="643" w:type="pct"/>
            <w:vMerge w:val="continue"/>
            <w:vAlign w:val="center"/>
          </w:tcPr>
          <w:p w14:paraId="765ADFB0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</w:pPr>
          </w:p>
        </w:tc>
        <w:tc>
          <w:tcPr>
            <w:tcW w:w="1541" w:type="pct"/>
            <w:vAlign w:val="center"/>
          </w:tcPr>
          <w:p w14:paraId="0EF26AEA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年度资金总额</w:t>
            </w:r>
          </w:p>
        </w:tc>
        <w:tc>
          <w:tcPr>
            <w:tcW w:w="2815" w:type="pct"/>
            <w:gridSpan w:val="5"/>
            <w:vAlign w:val="center"/>
          </w:tcPr>
          <w:p w14:paraId="70FDB4FB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2561</w:t>
            </w:r>
          </w:p>
        </w:tc>
      </w:tr>
      <w:tr w14:paraId="59C3371C">
        <w:trPr>
          <w:trHeight w:val="306" w:hRule="atLeast"/>
        </w:trPr>
        <w:tc>
          <w:tcPr>
            <w:tcW w:w="643" w:type="pct"/>
            <w:vMerge w:val="continue"/>
            <w:vAlign w:val="center"/>
          </w:tcPr>
          <w:p w14:paraId="137BFFEC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</w:pPr>
          </w:p>
        </w:tc>
        <w:tc>
          <w:tcPr>
            <w:tcW w:w="1541" w:type="pct"/>
            <w:noWrap/>
            <w:vAlign w:val="center"/>
          </w:tcPr>
          <w:p w14:paraId="226B2FD9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其中：兵团财政资金</w:t>
            </w:r>
          </w:p>
        </w:tc>
        <w:tc>
          <w:tcPr>
            <w:tcW w:w="2815" w:type="pct"/>
            <w:gridSpan w:val="5"/>
            <w:noWrap/>
            <w:vAlign w:val="center"/>
          </w:tcPr>
          <w:p w14:paraId="0E83B0DD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2361</w:t>
            </w:r>
          </w:p>
        </w:tc>
      </w:tr>
      <w:tr w14:paraId="69E1FFEF">
        <w:trPr>
          <w:trHeight w:val="306" w:hRule="atLeast"/>
        </w:trPr>
        <w:tc>
          <w:tcPr>
            <w:tcW w:w="643" w:type="pct"/>
            <w:vMerge w:val="continue"/>
            <w:vAlign w:val="center"/>
          </w:tcPr>
          <w:p w14:paraId="0690D443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</w:pPr>
          </w:p>
        </w:tc>
        <w:tc>
          <w:tcPr>
            <w:tcW w:w="1541" w:type="pct"/>
            <w:noWrap/>
            <w:vAlign w:val="center"/>
          </w:tcPr>
          <w:p w14:paraId="7BF2E8E7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其他资金</w:t>
            </w:r>
          </w:p>
        </w:tc>
        <w:tc>
          <w:tcPr>
            <w:tcW w:w="2815" w:type="pct"/>
            <w:gridSpan w:val="5"/>
            <w:noWrap/>
            <w:vAlign w:val="center"/>
          </w:tcPr>
          <w:p w14:paraId="77D79948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200</w:t>
            </w:r>
          </w:p>
        </w:tc>
      </w:tr>
      <w:tr w14:paraId="363B82CF">
        <w:trPr>
          <w:trHeight w:val="306" w:hRule="atLeast"/>
        </w:trPr>
        <w:tc>
          <w:tcPr>
            <w:tcW w:w="643" w:type="pct"/>
            <w:vMerge w:val="restart"/>
            <w:vAlign w:val="center"/>
          </w:tcPr>
          <w:p w14:paraId="29DD10EB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  <w:t>总体目标</w:t>
            </w:r>
          </w:p>
        </w:tc>
        <w:tc>
          <w:tcPr>
            <w:tcW w:w="4356" w:type="pct"/>
            <w:gridSpan w:val="6"/>
            <w:noWrap/>
            <w:vAlign w:val="center"/>
          </w:tcPr>
          <w:p w14:paraId="280770DC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年度目标</w:t>
            </w:r>
          </w:p>
        </w:tc>
      </w:tr>
      <w:tr w14:paraId="71FEFF62">
        <w:trPr>
          <w:trHeight w:val="859" w:hRule="atLeast"/>
        </w:trPr>
        <w:tc>
          <w:tcPr>
            <w:tcW w:w="643" w:type="pct"/>
            <w:vMerge w:val="continue"/>
            <w:vAlign w:val="center"/>
          </w:tcPr>
          <w:p w14:paraId="64AE0BDD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</w:pPr>
          </w:p>
        </w:tc>
        <w:tc>
          <w:tcPr>
            <w:tcW w:w="4356" w:type="pct"/>
            <w:gridSpan w:val="6"/>
            <w:vAlign w:val="center"/>
          </w:tcPr>
          <w:p w14:paraId="0613C75E">
            <w:pPr>
              <w:snapToGrid w:val="0"/>
              <w:spacing w:line="240" w:lineRule="atLeast"/>
              <w:jc w:val="left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以冷棚种植模式定植白杏305.92亩，新建田间道路5.95公里</w:t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  <w:lang w:eastAsia="zh-CN"/>
              </w:rPr>
              <w:t>，</w:t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配套高效节水灌溉383.48亩，新建农田防护林77.56亩，建成以轮台白杏为主导品种的高标准、现代特色林果示范基地，实现生态修复、产业增效、兵地融合发展的多重目标。</w:t>
            </w:r>
          </w:p>
        </w:tc>
      </w:tr>
      <w:tr w14:paraId="2E22F94D">
        <w:trPr>
          <w:trHeight w:val="306" w:hRule="atLeast"/>
        </w:trPr>
        <w:tc>
          <w:tcPr>
            <w:tcW w:w="643" w:type="pct"/>
            <w:vMerge w:val="restart"/>
            <w:vAlign w:val="center"/>
          </w:tcPr>
          <w:p w14:paraId="49C094DF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  <w:t>绩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  <w:br w:type="textWrapping"/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  <w:t>效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  <w:br w:type="textWrapping"/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  <w:t>指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  <w:br w:type="textWrapping"/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Cs w:val="21"/>
              </w:rPr>
              <w:t>标</w:t>
            </w:r>
          </w:p>
        </w:tc>
        <w:tc>
          <w:tcPr>
            <w:tcW w:w="1541" w:type="pct"/>
            <w:noWrap/>
            <w:vAlign w:val="center"/>
          </w:tcPr>
          <w:p w14:paraId="2C1D5BB5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一级指标</w:t>
            </w:r>
          </w:p>
        </w:tc>
        <w:tc>
          <w:tcPr>
            <w:tcW w:w="829" w:type="pct"/>
            <w:vAlign w:val="center"/>
          </w:tcPr>
          <w:p w14:paraId="6611B916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二级指标</w:t>
            </w:r>
          </w:p>
        </w:tc>
        <w:tc>
          <w:tcPr>
            <w:tcW w:w="1275" w:type="pct"/>
            <w:gridSpan w:val="2"/>
            <w:vAlign w:val="center"/>
          </w:tcPr>
          <w:p w14:paraId="585784CA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三级指标</w:t>
            </w:r>
          </w:p>
        </w:tc>
        <w:tc>
          <w:tcPr>
            <w:tcW w:w="711" w:type="pct"/>
            <w:gridSpan w:val="2"/>
            <w:vAlign w:val="center"/>
          </w:tcPr>
          <w:p w14:paraId="51D4A791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指标值</w:t>
            </w:r>
          </w:p>
        </w:tc>
      </w:tr>
      <w:tr w14:paraId="43868116">
        <w:trPr>
          <w:trHeight w:val="306" w:hRule="atLeast"/>
        </w:trPr>
        <w:tc>
          <w:tcPr>
            <w:tcW w:w="643" w:type="pct"/>
            <w:vMerge w:val="continue"/>
          </w:tcPr>
          <w:p w14:paraId="72009763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restart"/>
            <w:vAlign w:val="center"/>
          </w:tcPr>
          <w:p w14:paraId="6CAF193F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产出指标</w:t>
            </w:r>
          </w:p>
        </w:tc>
        <w:tc>
          <w:tcPr>
            <w:tcW w:w="829" w:type="pct"/>
            <w:vMerge w:val="restart"/>
            <w:vAlign w:val="center"/>
          </w:tcPr>
          <w:p w14:paraId="08011945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数量指标</w:t>
            </w:r>
          </w:p>
        </w:tc>
        <w:tc>
          <w:tcPr>
            <w:tcW w:w="1275" w:type="pct"/>
            <w:gridSpan w:val="2"/>
            <w:vAlign w:val="center"/>
          </w:tcPr>
          <w:p w14:paraId="1BB0B069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新建果园（亩）</w:t>
            </w:r>
          </w:p>
        </w:tc>
        <w:tc>
          <w:tcPr>
            <w:tcW w:w="711" w:type="pct"/>
            <w:gridSpan w:val="2"/>
            <w:vAlign w:val="center"/>
          </w:tcPr>
          <w:p w14:paraId="3BF7E6B9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=</w:t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305.92</w:t>
            </w:r>
          </w:p>
        </w:tc>
      </w:tr>
      <w:tr w14:paraId="278C0255">
        <w:trPr>
          <w:trHeight w:val="306" w:hRule="atLeast"/>
        </w:trPr>
        <w:tc>
          <w:tcPr>
            <w:tcW w:w="643" w:type="pct"/>
            <w:vMerge w:val="continue"/>
          </w:tcPr>
          <w:p w14:paraId="79537ACA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</w:tcPr>
          <w:p w14:paraId="0DCB9042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Merge w:val="continue"/>
            <w:vAlign w:val="center"/>
          </w:tcPr>
          <w:p w14:paraId="19FC2A7E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275" w:type="pct"/>
            <w:gridSpan w:val="2"/>
            <w:vAlign w:val="center"/>
          </w:tcPr>
          <w:p w14:paraId="590BB2D6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新建果园（亩）</w:t>
            </w:r>
          </w:p>
        </w:tc>
        <w:tc>
          <w:tcPr>
            <w:tcW w:w="711" w:type="pct"/>
            <w:gridSpan w:val="2"/>
            <w:vAlign w:val="center"/>
          </w:tcPr>
          <w:p w14:paraId="6F0B8A17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=5.95</w:t>
            </w:r>
          </w:p>
        </w:tc>
      </w:tr>
      <w:tr w14:paraId="5D77F423">
        <w:trPr>
          <w:trHeight w:val="306" w:hRule="atLeast"/>
        </w:trPr>
        <w:tc>
          <w:tcPr>
            <w:tcW w:w="643" w:type="pct"/>
            <w:vMerge w:val="continue"/>
          </w:tcPr>
          <w:p w14:paraId="5AF6363C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</w:tcPr>
          <w:p w14:paraId="31BA541F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Merge w:val="continue"/>
            <w:vAlign w:val="center"/>
          </w:tcPr>
          <w:p w14:paraId="49EFAAAA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275" w:type="pct"/>
            <w:gridSpan w:val="2"/>
            <w:vAlign w:val="center"/>
          </w:tcPr>
          <w:p w14:paraId="4454CFAF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新建农田防护林（亩）</w:t>
            </w:r>
          </w:p>
        </w:tc>
        <w:tc>
          <w:tcPr>
            <w:tcW w:w="711" w:type="pct"/>
            <w:gridSpan w:val="2"/>
            <w:vAlign w:val="center"/>
          </w:tcPr>
          <w:p w14:paraId="3EE68C85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=77.56</w:t>
            </w:r>
          </w:p>
        </w:tc>
      </w:tr>
      <w:tr w14:paraId="117614D8">
        <w:trPr>
          <w:trHeight w:val="306" w:hRule="atLeast"/>
        </w:trPr>
        <w:tc>
          <w:tcPr>
            <w:tcW w:w="643" w:type="pct"/>
            <w:vMerge w:val="continue"/>
          </w:tcPr>
          <w:p w14:paraId="2CC748EA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</w:tcPr>
          <w:p w14:paraId="65D0F4AA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Merge w:val="restart"/>
            <w:vAlign w:val="center"/>
          </w:tcPr>
          <w:p w14:paraId="2DD08BAF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质量指标</w:t>
            </w:r>
          </w:p>
        </w:tc>
        <w:tc>
          <w:tcPr>
            <w:tcW w:w="1275" w:type="pct"/>
            <w:gridSpan w:val="2"/>
            <w:vAlign w:val="center"/>
          </w:tcPr>
          <w:p w14:paraId="5238EFBE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项目验收合格率</w:t>
            </w:r>
          </w:p>
        </w:tc>
        <w:tc>
          <w:tcPr>
            <w:tcW w:w="711" w:type="pct"/>
            <w:gridSpan w:val="2"/>
            <w:vAlign w:val="center"/>
          </w:tcPr>
          <w:p w14:paraId="037BDFE1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=</w:t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100%</w:t>
            </w:r>
          </w:p>
        </w:tc>
      </w:tr>
      <w:tr w14:paraId="7A7F7865">
        <w:trPr>
          <w:trHeight w:val="306" w:hRule="atLeast"/>
        </w:trPr>
        <w:tc>
          <w:tcPr>
            <w:tcW w:w="643" w:type="pct"/>
            <w:vMerge w:val="continue"/>
          </w:tcPr>
          <w:p w14:paraId="203B1B10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</w:tcPr>
          <w:p w14:paraId="6E6E9661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Merge w:val="continue"/>
            <w:vAlign w:val="center"/>
          </w:tcPr>
          <w:p w14:paraId="775A9F24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275" w:type="pct"/>
            <w:gridSpan w:val="2"/>
            <w:vAlign w:val="center"/>
          </w:tcPr>
          <w:p w14:paraId="6A2C1515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项目设计变更率</w:t>
            </w:r>
          </w:p>
        </w:tc>
        <w:tc>
          <w:tcPr>
            <w:tcW w:w="711" w:type="pct"/>
            <w:gridSpan w:val="2"/>
            <w:vAlign w:val="center"/>
          </w:tcPr>
          <w:p w14:paraId="4CD2D6D3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＜10%</w:t>
            </w:r>
          </w:p>
        </w:tc>
      </w:tr>
      <w:tr w14:paraId="4B962C8C">
        <w:trPr>
          <w:trHeight w:val="306" w:hRule="atLeast"/>
        </w:trPr>
        <w:tc>
          <w:tcPr>
            <w:tcW w:w="643" w:type="pct"/>
            <w:vMerge w:val="continue"/>
          </w:tcPr>
          <w:p w14:paraId="27EC6EAF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</w:tcPr>
          <w:p w14:paraId="021F50F2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Merge w:val="restart"/>
            <w:vAlign w:val="center"/>
          </w:tcPr>
          <w:p w14:paraId="79C5BC32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时效指标</w:t>
            </w:r>
          </w:p>
        </w:tc>
        <w:tc>
          <w:tcPr>
            <w:tcW w:w="1275" w:type="pct"/>
            <w:gridSpan w:val="2"/>
            <w:vAlign w:val="center"/>
          </w:tcPr>
          <w:p w14:paraId="34AFD57B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项目完工及时率</w:t>
            </w:r>
          </w:p>
        </w:tc>
        <w:tc>
          <w:tcPr>
            <w:tcW w:w="711" w:type="pct"/>
            <w:gridSpan w:val="2"/>
            <w:vAlign w:val="center"/>
          </w:tcPr>
          <w:p w14:paraId="28B7400C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=100%</w:t>
            </w:r>
          </w:p>
        </w:tc>
      </w:tr>
      <w:tr w14:paraId="3338BD99">
        <w:trPr>
          <w:trHeight w:val="306" w:hRule="atLeast"/>
        </w:trPr>
        <w:tc>
          <w:tcPr>
            <w:tcW w:w="643" w:type="pct"/>
            <w:vMerge w:val="continue"/>
          </w:tcPr>
          <w:p w14:paraId="25EE1792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</w:tcPr>
          <w:p w14:paraId="24634A18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Merge w:val="continue"/>
            <w:vAlign w:val="center"/>
          </w:tcPr>
          <w:p w14:paraId="4155B601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275" w:type="pct"/>
            <w:gridSpan w:val="2"/>
            <w:vAlign w:val="center"/>
          </w:tcPr>
          <w:p w14:paraId="18D78D0B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帮扶资金</w:t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支付及时</w:t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率</w:t>
            </w:r>
          </w:p>
        </w:tc>
        <w:tc>
          <w:tcPr>
            <w:tcW w:w="711" w:type="pct"/>
            <w:gridSpan w:val="2"/>
            <w:vAlign w:val="center"/>
          </w:tcPr>
          <w:p w14:paraId="6BF6B850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  <w:t>≥</w:t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90%</w:t>
            </w:r>
          </w:p>
        </w:tc>
      </w:tr>
      <w:tr w14:paraId="2ED3E4ED">
        <w:trPr>
          <w:trHeight w:val="306" w:hRule="atLeast"/>
        </w:trPr>
        <w:tc>
          <w:tcPr>
            <w:tcW w:w="643" w:type="pct"/>
            <w:vMerge w:val="continue"/>
          </w:tcPr>
          <w:p w14:paraId="292C9755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</w:tcPr>
          <w:p w14:paraId="1677BC87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Merge w:val="continue"/>
            <w:vAlign w:val="center"/>
          </w:tcPr>
          <w:p w14:paraId="1DE52B9E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275" w:type="pct"/>
            <w:gridSpan w:val="2"/>
            <w:vAlign w:val="center"/>
          </w:tcPr>
          <w:p w14:paraId="2092311F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项目计划开始时间</w:t>
            </w:r>
          </w:p>
        </w:tc>
        <w:tc>
          <w:tcPr>
            <w:tcW w:w="711" w:type="pct"/>
            <w:gridSpan w:val="2"/>
            <w:vAlign w:val="center"/>
          </w:tcPr>
          <w:p w14:paraId="644F2BFE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2026年8月</w:t>
            </w:r>
          </w:p>
        </w:tc>
      </w:tr>
      <w:tr w14:paraId="7E5A9244">
        <w:trPr>
          <w:trHeight w:val="582" w:hRule="atLeast"/>
        </w:trPr>
        <w:tc>
          <w:tcPr>
            <w:tcW w:w="643" w:type="pct"/>
            <w:vMerge w:val="continue"/>
          </w:tcPr>
          <w:p w14:paraId="2DAA535D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</w:tcPr>
          <w:p w14:paraId="13EB010C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Merge w:val="continue"/>
            <w:vAlign w:val="center"/>
          </w:tcPr>
          <w:p w14:paraId="7601FC10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275" w:type="pct"/>
            <w:gridSpan w:val="2"/>
            <w:vAlign w:val="center"/>
          </w:tcPr>
          <w:p w14:paraId="79A02357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项目计划完工时间</w:t>
            </w:r>
          </w:p>
        </w:tc>
        <w:tc>
          <w:tcPr>
            <w:tcW w:w="711" w:type="pct"/>
            <w:gridSpan w:val="2"/>
            <w:vAlign w:val="center"/>
          </w:tcPr>
          <w:p w14:paraId="4D0AC587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2026年11月</w:t>
            </w:r>
          </w:p>
        </w:tc>
      </w:tr>
      <w:tr w14:paraId="37FA3E20">
        <w:trPr>
          <w:trHeight w:val="306" w:hRule="atLeast"/>
        </w:trPr>
        <w:tc>
          <w:tcPr>
            <w:tcW w:w="643" w:type="pct"/>
            <w:vMerge w:val="continue"/>
          </w:tcPr>
          <w:p w14:paraId="3FE29AFD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</w:tcPr>
          <w:p w14:paraId="07FEDDEC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Merge w:val="restart"/>
            <w:vAlign w:val="center"/>
          </w:tcPr>
          <w:p w14:paraId="3D972D4D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成本指标</w:t>
            </w:r>
          </w:p>
        </w:tc>
        <w:tc>
          <w:tcPr>
            <w:tcW w:w="1275" w:type="pct"/>
            <w:gridSpan w:val="2"/>
            <w:vAlign w:val="center"/>
          </w:tcPr>
          <w:p w14:paraId="18FCC52E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项目预算控制率</w:t>
            </w:r>
          </w:p>
        </w:tc>
        <w:tc>
          <w:tcPr>
            <w:tcW w:w="711" w:type="pct"/>
            <w:gridSpan w:val="2"/>
            <w:vAlign w:val="center"/>
          </w:tcPr>
          <w:p w14:paraId="053C6F34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  <w:t>≤</w:t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100%</w:t>
            </w:r>
          </w:p>
        </w:tc>
      </w:tr>
      <w:tr w14:paraId="4CAFD0AC">
        <w:trPr>
          <w:trHeight w:val="274" w:hRule="atLeast"/>
        </w:trPr>
        <w:tc>
          <w:tcPr>
            <w:tcW w:w="643" w:type="pct"/>
            <w:vMerge w:val="continue"/>
          </w:tcPr>
          <w:p w14:paraId="43EACF92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</w:tcPr>
          <w:p w14:paraId="144C7CF3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Merge w:val="continue"/>
            <w:vAlign w:val="center"/>
          </w:tcPr>
          <w:p w14:paraId="6157850F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1275" w:type="pct"/>
            <w:gridSpan w:val="2"/>
            <w:vAlign w:val="center"/>
          </w:tcPr>
          <w:p w14:paraId="48C75795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  <w:t>项目工程费用控制率</w:t>
            </w:r>
          </w:p>
        </w:tc>
        <w:tc>
          <w:tcPr>
            <w:tcW w:w="711" w:type="pct"/>
            <w:gridSpan w:val="2"/>
            <w:vAlign w:val="center"/>
          </w:tcPr>
          <w:p w14:paraId="5E3229B8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  <w:t>≤100%</w:t>
            </w:r>
          </w:p>
        </w:tc>
      </w:tr>
      <w:tr w14:paraId="2D1094EA">
        <w:trPr>
          <w:trHeight w:val="582" w:hRule="atLeast"/>
        </w:trPr>
        <w:tc>
          <w:tcPr>
            <w:tcW w:w="643" w:type="pct"/>
            <w:vMerge w:val="continue"/>
          </w:tcPr>
          <w:p w14:paraId="652D144E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restart"/>
            <w:vAlign w:val="center"/>
          </w:tcPr>
          <w:p w14:paraId="2CE701BD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效益指标</w:t>
            </w:r>
          </w:p>
        </w:tc>
        <w:tc>
          <w:tcPr>
            <w:tcW w:w="829" w:type="pct"/>
            <w:vAlign w:val="center"/>
          </w:tcPr>
          <w:p w14:paraId="77BE6BC6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经济效益指标</w:t>
            </w:r>
          </w:p>
        </w:tc>
        <w:tc>
          <w:tcPr>
            <w:tcW w:w="1275" w:type="pct"/>
            <w:gridSpan w:val="2"/>
            <w:vAlign w:val="center"/>
          </w:tcPr>
          <w:p w14:paraId="2EA2C185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是否有效带动项目区特色产业发展</w:t>
            </w:r>
          </w:p>
        </w:tc>
        <w:tc>
          <w:tcPr>
            <w:tcW w:w="711" w:type="pct"/>
            <w:gridSpan w:val="2"/>
            <w:vAlign w:val="center"/>
          </w:tcPr>
          <w:p w14:paraId="793218FF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有效带动</w:t>
            </w:r>
          </w:p>
        </w:tc>
      </w:tr>
      <w:tr w14:paraId="44D94946">
        <w:trPr>
          <w:trHeight w:val="582" w:hRule="atLeast"/>
        </w:trPr>
        <w:tc>
          <w:tcPr>
            <w:tcW w:w="643" w:type="pct"/>
            <w:vMerge w:val="continue"/>
          </w:tcPr>
          <w:p w14:paraId="3764DF56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  <w:vAlign w:val="center"/>
          </w:tcPr>
          <w:p w14:paraId="55B64D63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Align w:val="center"/>
          </w:tcPr>
          <w:p w14:paraId="0D111E56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社会效益指标</w:t>
            </w:r>
          </w:p>
        </w:tc>
        <w:tc>
          <w:tcPr>
            <w:tcW w:w="1275" w:type="pct"/>
            <w:gridSpan w:val="2"/>
            <w:vAlign w:val="center"/>
          </w:tcPr>
          <w:p w14:paraId="400ED3B4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带动当地职工群众务工</w:t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人）</w:t>
            </w:r>
          </w:p>
        </w:tc>
        <w:tc>
          <w:tcPr>
            <w:tcW w:w="711" w:type="pct"/>
            <w:gridSpan w:val="2"/>
            <w:vAlign w:val="center"/>
          </w:tcPr>
          <w:p w14:paraId="6ABD0138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  <w:t>≥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3DEE8506">
        <w:trPr>
          <w:trHeight w:val="306" w:hRule="atLeast"/>
        </w:trPr>
        <w:tc>
          <w:tcPr>
            <w:tcW w:w="643" w:type="pct"/>
            <w:vMerge w:val="continue"/>
          </w:tcPr>
          <w:p w14:paraId="16D1DC2D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  <w:vAlign w:val="center"/>
          </w:tcPr>
          <w:p w14:paraId="18DD223B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Align w:val="center"/>
          </w:tcPr>
          <w:p w14:paraId="2ADA4954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生态效益指标</w:t>
            </w:r>
          </w:p>
        </w:tc>
        <w:tc>
          <w:tcPr>
            <w:tcW w:w="1275" w:type="pct"/>
            <w:gridSpan w:val="2"/>
            <w:vAlign w:val="center"/>
          </w:tcPr>
          <w:p w14:paraId="1FC09CFC">
            <w:pPr>
              <w:snapToGrid w:val="0"/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  <w:lang w:val="en-US" w:eastAsia="zh-CN"/>
              </w:rPr>
              <w:t>区域植被覆盖率提升</w:t>
            </w:r>
          </w:p>
        </w:tc>
        <w:tc>
          <w:tcPr>
            <w:tcW w:w="711" w:type="pct"/>
            <w:gridSpan w:val="2"/>
            <w:vAlign w:val="center"/>
          </w:tcPr>
          <w:p w14:paraId="3B6CD50C">
            <w:pPr>
              <w:widowControl/>
              <w:snapToGrid w:val="0"/>
              <w:spacing w:line="240" w:lineRule="exac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  <w:lang w:val="en-US" w:eastAsia="zh-CN"/>
              </w:rPr>
              <w:t>明显提升</w:t>
            </w:r>
          </w:p>
        </w:tc>
      </w:tr>
      <w:tr w14:paraId="5E88A177">
        <w:trPr>
          <w:trHeight w:val="582" w:hRule="atLeast"/>
        </w:trPr>
        <w:tc>
          <w:tcPr>
            <w:tcW w:w="643" w:type="pct"/>
            <w:vMerge w:val="continue"/>
          </w:tcPr>
          <w:p w14:paraId="72C8FD96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Merge w:val="continue"/>
            <w:vAlign w:val="center"/>
          </w:tcPr>
          <w:p w14:paraId="4E160478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829" w:type="pct"/>
            <w:vAlign w:val="center"/>
          </w:tcPr>
          <w:p w14:paraId="38D263DB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可持续影响指标</w:t>
            </w:r>
          </w:p>
        </w:tc>
        <w:tc>
          <w:tcPr>
            <w:tcW w:w="1275" w:type="pct"/>
            <w:gridSpan w:val="2"/>
            <w:vAlign w:val="center"/>
          </w:tcPr>
          <w:p w14:paraId="1D5F42CB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工程设施持续使用年限</w:t>
            </w:r>
          </w:p>
        </w:tc>
        <w:tc>
          <w:tcPr>
            <w:tcW w:w="711" w:type="pct"/>
            <w:gridSpan w:val="2"/>
            <w:vAlign w:val="center"/>
          </w:tcPr>
          <w:p w14:paraId="069DEBEB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  <w:lang w:val="en-US" w:eastAsia="zh-CN"/>
              </w:rPr>
              <w:t>15年</w:t>
            </w:r>
          </w:p>
        </w:tc>
      </w:tr>
      <w:tr w14:paraId="704A688E">
        <w:trPr>
          <w:trHeight w:val="612" w:hRule="atLeast"/>
        </w:trPr>
        <w:tc>
          <w:tcPr>
            <w:tcW w:w="643" w:type="pct"/>
            <w:vMerge w:val="continue"/>
          </w:tcPr>
          <w:p w14:paraId="5A01C652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Cs w:val="21"/>
              </w:rPr>
            </w:pPr>
          </w:p>
        </w:tc>
        <w:tc>
          <w:tcPr>
            <w:tcW w:w="1541" w:type="pct"/>
            <w:vAlign w:val="center"/>
          </w:tcPr>
          <w:p w14:paraId="0CAC2530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满意度指标</w:t>
            </w:r>
          </w:p>
        </w:tc>
        <w:tc>
          <w:tcPr>
            <w:tcW w:w="829" w:type="pct"/>
            <w:vAlign w:val="center"/>
          </w:tcPr>
          <w:p w14:paraId="3F881D6C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服务对象</w:t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br w:type="textWrapping"/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满意度指标</w:t>
            </w:r>
          </w:p>
        </w:tc>
        <w:tc>
          <w:tcPr>
            <w:tcW w:w="1275" w:type="pct"/>
            <w:gridSpan w:val="2"/>
            <w:vAlign w:val="center"/>
          </w:tcPr>
          <w:p w14:paraId="3C7C3A4A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受益职工群众满意度</w:t>
            </w:r>
          </w:p>
        </w:tc>
        <w:tc>
          <w:tcPr>
            <w:tcW w:w="711" w:type="pct"/>
            <w:gridSpan w:val="2"/>
            <w:vAlign w:val="center"/>
          </w:tcPr>
          <w:p w14:paraId="367913CF">
            <w:pPr>
              <w:snapToGrid w:val="0"/>
              <w:spacing w:line="240" w:lineRule="atLeast"/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  <w:t>≥</w:t>
            </w: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>95%</w:t>
            </w:r>
          </w:p>
        </w:tc>
      </w:tr>
      <w:bookmarkEnd w:id="0"/>
    </w:tbl>
    <w:p w14:paraId="5ACFE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Times New Roman" w:hAnsi="Times New Roman" w:eastAsia="Arial Unicode MS" w:cs="Times New Roman"/>
          <w:sz w:val="28"/>
          <w:szCs w:val="32"/>
        </w:rPr>
      </w:pPr>
      <w:r>
        <w:rPr>
          <w:rFonts w:hint="eastAsia" w:ascii="Times New Roman" w:hAnsi="Times New Roman" w:eastAsia="Arial Unicode MS" w:cs="Times New Roman"/>
          <w:sz w:val="28"/>
          <w:szCs w:val="32"/>
        </w:rPr>
        <w:t>（2026年）</w:t>
      </w:r>
    </w:p>
    <w:p w14:paraId="5AF46DFF">
      <w:pPr>
        <w:spacing w:line="240" w:lineRule="auto"/>
        <w:jc w:val="left"/>
        <w:rPr>
          <w:rFonts w:ascii="Times New Roman" w:hAnsi="Times New Roman" w:eastAsia="仿宋_GB2312" w:cs="Times New Roman"/>
          <w:szCs w:val="21"/>
        </w:rPr>
      </w:pPr>
    </w:p>
    <w:p w14:paraId="1EC7A211">
      <w:pPr>
        <w:spacing w:line="420" w:lineRule="exact"/>
      </w:pPr>
    </w:p>
    <w:sectPr>
      <w:pgSz w:w="11906" w:h="16838"/>
      <w:pgMar w:top="1418" w:right="1474" w:bottom="1418" w:left="1588" w:header="851" w:footer="56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E2"/>
    <w:rsid w:val="00172461"/>
    <w:rsid w:val="00211F7D"/>
    <w:rsid w:val="004051E2"/>
    <w:rsid w:val="00413DB5"/>
    <w:rsid w:val="0049609E"/>
    <w:rsid w:val="00570DD1"/>
    <w:rsid w:val="007264A8"/>
    <w:rsid w:val="00770608"/>
    <w:rsid w:val="00C449F9"/>
    <w:rsid w:val="00EE3183"/>
    <w:rsid w:val="49FB5216"/>
    <w:rsid w:val="7F5B423B"/>
    <w:rsid w:val="FFA5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table" w:styleId="5">
    <w:name w:val="Table Grid"/>
    <w:basedOn w:val="4"/>
    <w:uiPriority w:val="0"/>
    <w:pPr>
      <w:widowControl w:val="0"/>
      <w:spacing w:line="240" w:lineRule="auto"/>
    </w:pPr>
    <w:rPr>
      <w:rFonts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545</Characters>
  <Lines>4</Lines>
  <Paragraphs>1</Paragraphs>
  <TotalTime>0</TotalTime>
  <ScaleCrop>false</ScaleCrop>
  <LinksUpToDate>false</LinksUpToDate>
  <CharactersWithSpaces>639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2026-06-09T10:30:00Z</dcterms:created>
  <dc:creator>ly</dc:creator>
  <cp:lastModifiedBy>曹怎怎</cp:lastModifiedBy>
  <dcterms:modified xsi:type="dcterms:W3CDTF">2026-06-11T11:42:33Z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25E311D7618BC4788D2E2A6A0A4EC644_42</vt:lpwstr>
  </property>
</Properties>
</file>