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F7A">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8CE75E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关于年产600万套高档纸箱生产线项目</w:t>
      </w:r>
    </w:p>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w:t>
      </w:r>
      <w:r>
        <w:rPr>
          <w:rFonts w:hint="eastAsia" w:eastAsia="仿宋_GB2312" w:cs="Times New Roman"/>
          <w:sz w:val="32"/>
          <w:szCs w:val="32"/>
          <w:lang w:val="en-US" w:eastAsia="zh-CN"/>
        </w:rPr>
        <w:t>吉瑞华彩包装有限公司</w:t>
      </w:r>
      <w:r>
        <w:rPr>
          <w:rFonts w:hint="default" w:ascii="Times New Roman" w:hAnsi="Times New Roman" w:eastAsia="仿宋_GB2312" w:cs="Times New Roman"/>
          <w:sz w:val="32"/>
          <w:szCs w:val="32"/>
          <w:lang w:val="en-US" w:eastAsia="zh-CN"/>
        </w:rPr>
        <w:t>：</w:t>
      </w:r>
    </w:p>
    <w:p w14:paraId="5663E4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天地源环保科技发展股份有限公司编制的《年产600万套高档纸箱生产线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4D3F85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项目位于新疆生产建设兵团第十二师金环路386号，厂址中心地理坐标东经87°22′27.453″，北纬43°54′13.549″。项目东侧为乌鲁木齐宝浦不锈钢有限公司，西侧为新疆轻工浆纸有限责任公司，北侧为新疆新瑞阳金属制品有限公司，南侧为新疆新冶建筑集成科技有限公司。</w:t>
      </w:r>
    </w:p>
    <w:p w14:paraId="05A41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建设内容：本项目建设性质为改建。租用新疆瑞泰果业开发有限公司现有厂房进行建设。项目规模为年产600万套高档纸箱。</w:t>
      </w:r>
    </w:p>
    <w:p w14:paraId="64FABD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color w:val="auto"/>
          <w:sz w:val="32"/>
          <w:szCs w:val="32"/>
          <w:lang w:val="en-US" w:eastAsia="zh-CN"/>
        </w:rPr>
        <w:t>79</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u w:color="000000"/>
          <w:lang w:val="en-US" w:eastAsia="zh-CN" w:bidi="ar-SA"/>
        </w:rPr>
        <w:t>34.17</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Style w:val="29"/>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9"/>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1"/>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7812645D">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w:t>
      </w:r>
      <w:r>
        <w:rPr>
          <w:rFonts w:hint="default" w:ascii="Times New Roman" w:hAnsi="Times New Roman" w:eastAsia="仿宋_GB2312" w:cs="Times New Roman"/>
          <w:color w:val="auto"/>
          <w:sz w:val="32"/>
          <w:szCs w:val="32"/>
          <w:highlight w:val="none"/>
          <w:lang w:val="en-US" w:eastAsia="zh-CN"/>
        </w:rPr>
        <w:t>实废气污染防治措施。</w:t>
      </w:r>
      <w:r>
        <w:rPr>
          <w:rFonts w:hint="eastAsia"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lang w:val="en-US" w:eastAsia="zh-CN"/>
        </w:rPr>
        <w:t>项目设置单独的覆膜车间，覆膜机</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粘箱及裱纸工序上方</w:t>
      </w:r>
      <w:r>
        <w:rPr>
          <w:rFonts w:hint="eastAsia" w:eastAsia="仿宋_GB2312" w:cs="Times New Roman"/>
          <w:color w:val="auto"/>
          <w:sz w:val="32"/>
          <w:szCs w:val="32"/>
          <w:highlight w:val="none"/>
          <w:lang w:val="en-US" w:eastAsia="zh-CN"/>
        </w:rPr>
        <w:t>均</w:t>
      </w:r>
      <w:r>
        <w:rPr>
          <w:rFonts w:hint="default" w:ascii="Times New Roman" w:hAnsi="Times New Roman" w:eastAsia="仿宋_GB2312" w:cs="Times New Roman"/>
          <w:color w:val="auto"/>
          <w:sz w:val="32"/>
          <w:szCs w:val="32"/>
          <w:highlight w:val="none"/>
          <w:lang w:val="en-US" w:eastAsia="zh-CN"/>
        </w:rPr>
        <w:t>设置集气罩，收集后统一进入</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活性炭吸附+催化燃烧</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装置处理，处理后经15米高排气筒（DA001）排放，非甲烷总烃</w:t>
      </w:r>
      <w:r>
        <w:rPr>
          <w:rFonts w:hint="eastAsia" w:eastAsia="仿宋_GB2312" w:cs="Times New Roman"/>
          <w:color w:val="auto"/>
          <w:sz w:val="32"/>
          <w:szCs w:val="32"/>
          <w:highlight w:val="none"/>
          <w:lang w:val="en-US" w:eastAsia="zh-CN"/>
        </w:rPr>
        <w:t>排放</w:t>
      </w:r>
      <w:r>
        <w:rPr>
          <w:rFonts w:hint="default" w:ascii="Times New Roman" w:hAnsi="Times New Roman" w:eastAsia="仿宋_GB2312" w:cs="Times New Roman"/>
          <w:color w:val="auto"/>
          <w:sz w:val="32"/>
          <w:szCs w:val="32"/>
          <w:highlight w:val="none"/>
          <w:lang w:val="en-US" w:eastAsia="zh-CN"/>
        </w:rPr>
        <w:t>满足《大气污染物综合排放标准》（GB16297-1996）表2二级标准</w:t>
      </w:r>
      <w:r>
        <w:rPr>
          <w:rFonts w:hint="eastAsia" w:eastAsia="仿宋_GB2312" w:cs="Times New Roman"/>
          <w:color w:val="auto"/>
          <w:sz w:val="32"/>
          <w:szCs w:val="32"/>
          <w:highlight w:val="none"/>
          <w:lang w:val="en-US" w:eastAsia="zh-CN"/>
        </w:rPr>
        <w:t>。</w:t>
      </w:r>
    </w:p>
    <w:p w14:paraId="396E1689">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厂界颗粒物、非甲烷总烃排放浓度满足《大气污染物综合排放标准》（GB16297-1996）表2中无组织排放监控浓度限值周界外浓度最高点。厂区内非甲烷总烃排放执行《挥发性有机物无组织排放控制标准》（GB37822-2019）附录A</w:t>
      </w:r>
      <w:r>
        <w:rPr>
          <w:rFonts w:hint="eastAsia"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表A.1特别排放限值</w:t>
      </w:r>
      <w:r>
        <w:rPr>
          <w:rFonts w:hint="eastAsia"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w:t>
      </w:r>
    </w:p>
    <w:p w14:paraId="13C51B98">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落实废水污染防治措施。本项目运营期生产废水</w:t>
      </w:r>
      <w:r>
        <w:rPr>
          <w:rFonts w:hint="eastAsia" w:eastAsia="仿宋_GB2312" w:cs="Times New Roman"/>
          <w:color w:val="auto"/>
          <w:sz w:val="32"/>
          <w:szCs w:val="32"/>
          <w:highlight w:val="none"/>
          <w:lang w:val="en-US" w:eastAsia="zh-CN"/>
        </w:rPr>
        <w:t>不</w:t>
      </w:r>
      <w:r>
        <w:rPr>
          <w:rFonts w:hint="default" w:ascii="Times New Roman" w:hAnsi="Times New Roman" w:eastAsia="仿宋_GB2312" w:cs="Times New Roman"/>
          <w:color w:val="auto"/>
          <w:sz w:val="32"/>
          <w:szCs w:val="32"/>
          <w:highlight w:val="none"/>
          <w:lang w:val="en-US" w:eastAsia="zh-CN"/>
        </w:rPr>
        <w:t>外排。生活污水经园区污水管网进入乌鲁木齐头屯河污水处理厂处理。满足《污水综合排放标准》（GB8978-1996）表4三级标准，</w:t>
      </w:r>
    </w:p>
    <w:p w14:paraId="53623EE8">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落实噪声污染防治措施。本项目运营期噪声源主要为全自动切纸机、高速覆膜机等设备产生的机械噪声。产噪设备均在厂房内布置，采取减振、隔声等措施。满足《工业企业厂界环境噪声排放标准》（GB12348-2008）</w:t>
      </w:r>
      <w:r>
        <w:rPr>
          <w:rFonts w:hint="default" w:ascii="Times New Roman" w:hAnsi="Times New Roman" w:eastAsia="仿宋_GB2312" w:cs="Times New Roman"/>
          <w:bCs/>
          <w:color w:val="auto"/>
          <w:kern w:val="2"/>
          <w:sz w:val="32"/>
          <w:szCs w:val="32"/>
          <w:u w:color="000000"/>
          <w:lang w:val="en-US" w:eastAsia="zh-CN" w:bidi="ar-SA"/>
        </w:rPr>
        <w:t>中</w:t>
      </w:r>
      <w:r>
        <w:rPr>
          <w:rFonts w:hint="default" w:ascii="Times New Roman" w:hAnsi="Times New Roman" w:eastAsia="仿宋_GB2312" w:cs="Times New Roman"/>
          <w:color w:val="auto"/>
          <w:spacing w:val="0"/>
          <w:sz w:val="32"/>
          <w:szCs w:val="32"/>
          <w:highlight w:val="none"/>
          <w:u w:val="none" w:color="auto"/>
          <w:lang w:val="en-US" w:eastAsia="zh-CN"/>
        </w:rPr>
        <w:t>3类标准要求</w:t>
      </w:r>
      <w:r>
        <w:rPr>
          <w:rFonts w:hint="eastAsia" w:eastAsia="仿宋_GB2312" w:cs="Times New Roman"/>
          <w:color w:val="auto"/>
          <w:spacing w:val="0"/>
          <w:sz w:val="32"/>
          <w:szCs w:val="32"/>
          <w:highlight w:val="none"/>
          <w:u w:val="none" w:color="auto"/>
          <w:lang w:val="en-US" w:eastAsia="zh-CN"/>
        </w:rPr>
        <w:t>。</w:t>
      </w:r>
    </w:p>
    <w:p w14:paraId="3ED1369F">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（四）落实固废污染防治措施。本项目运营期废包装材料、废边角料，收集至现有一般固废暂存间，出售物资回收公司。生活垃圾采用垃圾箱收集，由园区环卫部门统一清运处置。</w:t>
      </w:r>
    </w:p>
    <w:p w14:paraId="64E0380B">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废活性炭</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废胶</w:t>
      </w:r>
      <w:r>
        <w:rPr>
          <w:rFonts w:hint="eastAsia" w:eastAsia="仿宋_GB2312" w:cs="Times New Roman"/>
          <w:color w:val="auto"/>
          <w:sz w:val="32"/>
          <w:szCs w:val="32"/>
          <w:highlight w:val="none"/>
          <w:u w:val="none"/>
          <w:lang w:val="en-US" w:eastAsia="zh-CN"/>
        </w:rPr>
        <w:t>水</w:t>
      </w:r>
      <w:r>
        <w:rPr>
          <w:rFonts w:hint="default" w:ascii="Times New Roman" w:hAnsi="Times New Roman" w:eastAsia="仿宋_GB2312" w:cs="Times New Roman"/>
          <w:color w:val="auto"/>
          <w:sz w:val="32"/>
          <w:szCs w:val="32"/>
          <w:highlight w:val="none"/>
          <w:u w:val="none"/>
          <w:lang w:val="en-US" w:eastAsia="zh-CN"/>
        </w:rPr>
        <w:t>桶分区暂存于危废贮存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color w:val="auto"/>
          <w:sz w:val="32"/>
          <w:szCs w:val="32"/>
          <w:highlight w:val="none"/>
          <w:u w:val="none"/>
          <w:lang w:val="en-US" w:eastAsia="zh-CN"/>
        </w:rPr>
        <w:t>，交由有危险废物处置资质的单位处理。</w:t>
      </w:r>
      <w:r>
        <w:rPr>
          <w:rFonts w:hint="default" w:ascii="Times New Roman" w:hAnsi="Times New Roman" w:eastAsia="仿宋_GB2312" w:cs="Times New Roman"/>
          <w:bCs/>
          <w:color w:val="auto"/>
          <w:kern w:val="2"/>
          <w:sz w:val="32"/>
          <w:szCs w:val="32"/>
          <w:u w:color="000000"/>
          <w:lang w:val="en-US" w:eastAsia="zh-CN" w:bidi="ar-SA"/>
        </w:rPr>
        <w:t>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1FE3E4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w:t>
      </w:r>
      <w:r>
        <w:rPr>
          <w:rFonts w:hint="eastAsia" w:eastAsia="仿宋_GB2312" w:cs="Times New Roman"/>
          <w:bCs/>
          <w:color w:val="auto"/>
          <w:kern w:val="2"/>
          <w:sz w:val="32"/>
          <w:szCs w:val="32"/>
          <w:u w:color="000000"/>
          <w:lang w:val="en-US" w:eastAsia="zh-CN" w:bidi="ar-SA"/>
        </w:rPr>
        <w:t>五</w:t>
      </w:r>
      <w:r>
        <w:rPr>
          <w:rFonts w:hint="default" w:ascii="Times New Roman" w:hAnsi="Times New Roman" w:eastAsia="仿宋_GB2312" w:cs="Times New Roman"/>
          <w:bCs/>
          <w:color w:val="auto"/>
          <w:kern w:val="2"/>
          <w:sz w:val="32"/>
          <w:szCs w:val="32"/>
          <w:u w:color="000000"/>
          <w:lang w:val="en-US" w:eastAsia="zh-CN" w:bidi="ar-SA"/>
        </w:rPr>
        <w:t>）加强项目环境风险防范。建立严格的环境风险管理制度，认真落实报告</w:t>
      </w:r>
      <w:r>
        <w:rPr>
          <w:rFonts w:hint="eastAsia" w:eastAsia="仿宋_GB2312" w:cs="Times New Roman"/>
          <w:bCs/>
          <w:color w:val="auto"/>
          <w:kern w:val="2"/>
          <w:sz w:val="32"/>
          <w:szCs w:val="32"/>
          <w:u w:color="000000"/>
          <w:lang w:val="en-US" w:eastAsia="zh-CN" w:bidi="ar-SA"/>
        </w:rPr>
        <w:t>表</w:t>
      </w:r>
      <w:r>
        <w:rPr>
          <w:rFonts w:hint="default" w:ascii="Times New Roman" w:hAnsi="Times New Roman" w:eastAsia="仿宋_GB2312" w:cs="Times New Roman"/>
          <w:bCs/>
          <w:color w:val="auto"/>
          <w:kern w:val="2"/>
          <w:sz w:val="32"/>
          <w:szCs w:val="32"/>
          <w:u w:color="000000"/>
          <w:lang w:val="en-US" w:eastAsia="zh-CN" w:bidi="ar-SA"/>
        </w:rPr>
        <w:t>提出的各项风险防范措施；编制《突发环境事件应急预案》报生态环境主管部门备案，确保不发生环境污染事故；定期开展突发环境事件应急演练，及时对环境应急预案进行完善。</w:t>
      </w:r>
    </w:p>
    <w:p w14:paraId="30468BF8">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本项目主要污染物排放总量指标VOC</w:t>
      </w:r>
      <w:r>
        <w:rPr>
          <w:rFonts w:hint="default" w:ascii="Times New Roman" w:hAnsi="Times New Roman" w:eastAsia="仿宋_GB2312" w:cs="Times New Roman"/>
          <w:color w:val="auto"/>
          <w:sz w:val="32"/>
          <w:szCs w:val="32"/>
          <w:vertAlign w:val="subscript"/>
          <w:lang w:val="en-US" w:eastAsia="zh-CN"/>
        </w:rPr>
        <w:t>S</w:t>
      </w:r>
      <w:r>
        <w:rPr>
          <w:rFonts w:hint="eastAsia" w:eastAsia="仿宋_GB2312" w:cs="Times New Roman"/>
          <w:color w:val="auto"/>
          <w:sz w:val="32"/>
          <w:szCs w:val="32"/>
          <w:vertAlign w:val="baseline"/>
          <w:lang w:val="en-US" w:eastAsia="zh-CN"/>
        </w:rPr>
        <w:t>：</w:t>
      </w:r>
      <w:r>
        <w:rPr>
          <w:rFonts w:hint="default" w:ascii="Times New Roman" w:hAnsi="Times New Roman" w:eastAsia="仿宋_GB2312" w:cs="Times New Roman"/>
          <w:color w:val="auto"/>
          <w:sz w:val="32"/>
          <w:szCs w:val="32"/>
          <w:lang w:val="en-US" w:eastAsia="zh-CN"/>
        </w:rPr>
        <w:t>0.0439吨/年</w:t>
      </w:r>
      <w:r>
        <w:rPr>
          <w:rFonts w:hint="eastAsia" w:eastAsia="仿宋_GB2312" w:cs="Times New Roman"/>
          <w:color w:val="auto"/>
          <w:sz w:val="32"/>
          <w:szCs w:val="32"/>
          <w:lang w:val="en-US" w:eastAsia="zh-CN"/>
        </w:rPr>
        <w:t>。</w:t>
      </w:r>
    </w:p>
    <w:p w14:paraId="6FF619D3">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四、项目建设应严格执行配套建设的环境保护设施与主体工程同时设计、同时施工、同时投产使用的</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环境影响报告表批准后，项目的性质、规模、地点或生态保护、污染防治措施发生重大变动的，应当按要求重新报批环境影响评价文件。自批准之日起超过5年方决定该项目开工建设的，其环评文件应当报我局重新审核。项目竣工后正式运营前，根据《排污许可管理条例》依法办理排污许可手续，并对配套建设的环境保护设施进行验收，经验收合格后，项目方可投入运行。</w:t>
      </w:r>
    </w:p>
    <w:p w14:paraId="1B3CBA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2AE06D15">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color w:val="auto"/>
          <w:sz w:val="32"/>
          <w:szCs w:val="32"/>
          <w:lang w:val="en-US" w:eastAsia="zh-CN"/>
        </w:rPr>
      </w:pPr>
    </w:p>
    <w:p w14:paraId="102884F1">
      <w:pPr>
        <w:pStyle w:val="19"/>
        <w:keepNext w:val="0"/>
        <w:keepLines w:val="0"/>
        <w:pageBreakBefore w:val="0"/>
        <w:kinsoku/>
        <w:wordWrap/>
        <w:overflowPunct/>
        <w:topLinePunct w:val="0"/>
        <w:autoSpaceDE/>
        <w:autoSpaceDN/>
        <w:bidi w:val="0"/>
        <w:snapToGrid/>
        <w:spacing w:line="520" w:lineRule="exact"/>
        <w:rPr>
          <w:rFonts w:hint="default"/>
          <w:lang w:val="en-US" w:eastAsia="zh-CN"/>
        </w:rPr>
      </w:pPr>
    </w:p>
    <w:p w14:paraId="2EC11EB8">
      <w:pPr>
        <w:keepNext w:val="0"/>
        <w:keepLines w:val="0"/>
        <w:pageBreakBefore w:val="0"/>
        <w:kinsoku/>
        <w:wordWrap/>
        <w:overflowPunct/>
        <w:topLinePunct w:val="0"/>
        <w:autoSpaceDE/>
        <w:autoSpaceDN/>
        <w:bidi w:val="0"/>
        <w:snapToGrid/>
        <w:spacing w:line="520" w:lineRule="exact"/>
        <w:rPr>
          <w:rFonts w:hint="default"/>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DC9516B0-53C8-4F1C-828A-9E7552DCEFD7}"/>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518D582C-EF5E-4485-A576-5F6701768965}"/>
  </w:font>
  <w:font w:name="WPSEMBED15">
    <w:panose1 w:val="02010609030101010101"/>
    <w:charset w:val="86"/>
    <w:family w:val="auto"/>
    <w:pitch w:val="default"/>
    <w:sig w:usb0="00000001" w:usb1="080E0000" w:usb2="00000000" w:usb3="00000000" w:csb0="00040000" w:csb1="00000000"/>
  </w:font>
  <w:font w:name="WPSEMBED1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3"/>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03B507B"/>
    <w:rsid w:val="01954E03"/>
    <w:rsid w:val="02A5264F"/>
    <w:rsid w:val="0303427A"/>
    <w:rsid w:val="03343D40"/>
    <w:rsid w:val="036B03E5"/>
    <w:rsid w:val="03B818B8"/>
    <w:rsid w:val="0418546F"/>
    <w:rsid w:val="0431202E"/>
    <w:rsid w:val="04343F9F"/>
    <w:rsid w:val="049F51EA"/>
    <w:rsid w:val="04B54A0D"/>
    <w:rsid w:val="04B930B4"/>
    <w:rsid w:val="053613BF"/>
    <w:rsid w:val="073B0880"/>
    <w:rsid w:val="07592C22"/>
    <w:rsid w:val="076E74DB"/>
    <w:rsid w:val="07DD39B1"/>
    <w:rsid w:val="09A65D5E"/>
    <w:rsid w:val="09CE1C45"/>
    <w:rsid w:val="0A300945"/>
    <w:rsid w:val="0BC57258"/>
    <w:rsid w:val="0BDF05C2"/>
    <w:rsid w:val="0C211C5A"/>
    <w:rsid w:val="0DA67DA3"/>
    <w:rsid w:val="0DC736EF"/>
    <w:rsid w:val="0DE620DB"/>
    <w:rsid w:val="0E3A5F83"/>
    <w:rsid w:val="0E9B4DA8"/>
    <w:rsid w:val="0EA801FA"/>
    <w:rsid w:val="0F355C67"/>
    <w:rsid w:val="10705587"/>
    <w:rsid w:val="10A4745D"/>
    <w:rsid w:val="1130362F"/>
    <w:rsid w:val="12404419"/>
    <w:rsid w:val="12C64D9E"/>
    <w:rsid w:val="132F6CC0"/>
    <w:rsid w:val="1483206F"/>
    <w:rsid w:val="14FD529D"/>
    <w:rsid w:val="152E726E"/>
    <w:rsid w:val="15447BCF"/>
    <w:rsid w:val="15B71C1A"/>
    <w:rsid w:val="16362036"/>
    <w:rsid w:val="17712A16"/>
    <w:rsid w:val="17FD79ED"/>
    <w:rsid w:val="184A2555"/>
    <w:rsid w:val="185B5474"/>
    <w:rsid w:val="1A1B029D"/>
    <w:rsid w:val="1B616AD1"/>
    <w:rsid w:val="1BA54230"/>
    <w:rsid w:val="1BDC1A17"/>
    <w:rsid w:val="1CAE56BC"/>
    <w:rsid w:val="1CE957F4"/>
    <w:rsid w:val="1D37451A"/>
    <w:rsid w:val="1E3D7AF5"/>
    <w:rsid w:val="1EDF0A99"/>
    <w:rsid w:val="1F6B0692"/>
    <w:rsid w:val="1F811721"/>
    <w:rsid w:val="1F8F686F"/>
    <w:rsid w:val="1FC030C2"/>
    <w:rsid w:val="1FC63A01"/>
    <w:rsid w:val="20186416"/>
    <w:rsid w:val="20232162"/>
    <w:rsid w:val="20920B1E"/>
    <w:rsid w:val="209C6FB6"/>
    <w:rsid w:val="21A71CFD"/>
    <w:rsid w:val="21EE2624"/>
    <w:rsid w:val="22FC519D"/>
    <w:rsid w:val="23D77FA4"/>
    <w:rsid w:val="24197569"/>
    <w:rsid w:val="24DF43F3"/>
    <w:rsid w:val="277C3179"/>
    <w:rsid w:val="27A72484"/>
    <w:rsid w:val="27B950AC"/>
    <w:rsid w:val="28B30D34"/>
    <w:rsid w:val="2A043D84"/>
    <w:rsid w:val="2A3D5940"/>
    <w:rsid w:val="2BB20A80"/>
    <w:rsid w:val="2C526A72"/>
    <w:rsid w:val="2C6F3531"/>
    <w:rsid w:val="2D473EFE"/>
    <w:rsid w:val="2E1413FF"/>
    <w:rsid w:val="31C250C8"/>
    <w:rsid w:val="323B7709"/>
    <w:rsid w:val="32CB48A0"/>
    <w:rsid w:val="33C66FC5"/>
    <w:rsid w:val="342D0001"/>
    <w:rsid w:val="35377AB9"/>
    <w:rsid w:val="353B1465"/>
    <w:rsid w:val="35796375"/>
    <w:rsid w:val="36356EAC"/>
    <w:rsid w:val="37130FE3"/>
    <w:rsid w:val="37360960"/>
    <w:rsid w:val="378857B3"/>
    <w:rsid w:val="378C012D"/>
    <w:rsid w:val="37982D8A"/>
    <w:rsid w:val="37ED6CAA"/>
    <w:rsid w:val="38421659"/>
    <w:rsid w:val="394207DB"/>
    <w:rsid w:val="3A1B478A"/>
    <w:rsid w:val="3A7A6DCD"/>
    <w:rsid w:val="3B56320E"/>
    <w:rsid w:val="3B702097"/>
    <w:rsid w:val="3C457435"/>
    <w:rsid w:val="3CD13EDB"/>
    <w:rsid w:val="3E407CE8"/>
    <w:rsid w:val="3EFC3218"/>
    <w:rsid w:val="408D1F7C"/>
    <w:rsid w:val="409F2D25"/>
    <w:rsid w:val="41481ED3"/>
    <w:rsid w:val="42141B9B"/>
    <w:rsid w:val="426A7BCE"/>
    <w:rsid w:val="43611640"/>
    <w:rsid w:val="440C3582"/>
    <w:rsid w:val="448434D9"/>
    <w:rsid w:val="457C4008"/>
    <w:rsid w:val="45CF2E79"/>
    <w:rsid w:val="46821C9A"/>
    <w:rsid w:val="46C40A3A"/>
    <w:rsid w:val="4735463A"/>
    <w:rsid w:val="47A05AAA"/>
    <w:rsid w:val="483671E0"/>
    <w:rsid w:val="494C3228"/>
    <w:rsid w:val="496F3E8B"/>
    <w:rsid w:val="4AEF475E"/>
    <w:rsid w:val="4B3B3D3D"/>
    <w:rsid w:val="4C1D505D"/>
    <w:rsid w:val="4C935F3D"/>
    <w:rsid w:val="4CB30DFF"/>
    <w:rsid w:val="4CCC0113"/>
    <w:rsid w:val="4E497B5F"/>
    <w:rsid w:val="4EE6170D"/>
    <w:rsid w:val="51A62C6F"/>
    <w:rsid w:val="522C7607"/>
    <w:rsid w:val="550B1D3D"/>
    <w:rsid w:val="559F61B5"/>
    <w:rsid w:val="56466840"/>
    <w:rsid w:val="56982E14"/>
    <w:rsid w:val="573617D2"/>
    <w:rsid w:val="57FD08D3"/>
    <w:rsid w:val="58635A95"/>
    <w:rsid w:val="58AC6A92"/>
    <w:rsid w:val="5902641E"/>
    <w:rsid w:val="5B107A78"/>
    <w:rsid w:val="5B5201FC"/>
    <w:rsid w:val="5C9556DA"/>
    <w:rsid w:val="5CB5471F"/>
    <w:rsid w:val="5CE96177"/>
    <w:rsid w:val="5D4B0BE0"/>
    <w:rsid w:val="5D975035"/>
    <w:rsid w:val="5E8667BF"/>
    <w:rsid w:val="5F0A7158"/>
    <w:rsid w:val="5FA01104"/>
    <w:rsid w:val="616B35FF"/>
    <w:rsid w:val="61ED1CAB"/>
    <w:rsid w:val="632C5E80"/>
    <w:rsid w:val="633839B4"/>
    <w:rsid w:val="637F05E7"/>
    <w:rsid w:val="63E1404C"/>
    <w:rsid w:val="6436423C"/>
    <w:rsid w:val="646B3552"/>
    <w:rsid w:val="652303E3"/>
    <w:rsid w:val="678A222B"/>
    <w:rsid w:val="67D113D6"/>
    <w:rsid w:val="67E956CD"/>
    <w:rsid w:val="68A87B77"/>
    <w:rsid w:val="69E6594B"/>
    <w:rsid w:val="69ED55BD"/>
    <w:rsid w:val="6A9A30D8"/>
    <w:rsid w:val="6AB26975"/>
    <w:rsid w:val="6AE544EF"/>
    <w:rsid w:val="6B923E7E"/>
    <w:rsid w:val="6C9C3206"/>
    <w:rsid w:val="6CF32868"/>
    <w:rsid w:val="6D1A3FF7"/>
    <w:rsid w:val="6DD8026E"/>
    <w:rsid w:val="6F72024E"/>
    <w:rsid w:val="6FFE1AE2"/>
    <w:rsid w:val="723E2669"/>
    <w:rsid w:val="738C16D6"/>
    <w:rsid w:val="73BC2374"/>
    <w:rsid w:val="740718AD"/>
    <w:rsid w:val="743374C1"/>
    <w:rsid w:val="74E42CE2"/>
    <w:rsid w:val="75114B05"/>
    <w:rsid w:val="755C6E6D"/>
    <w:rsid w:val="76123086"/>
    <w:rsid w:val="7666465D"/>
    <w:rsid w:val="76F8372F"/>
    <w:rsid w:val="77B016F4"/>
    <w:rsid w:val="77CC387B"/>
    <w:rsid w:val="77EA1CD8"/>
    <w:rsid w:val="797B56E2"/>
    <w:rsid w:val="79A4094F"/>
    <w:rsid w:val="7AAB3520"/>
    <w:rsid w:val="7C555D07"/>
    <w:rsid w:val="7C7F037E"/>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5"/>
    <w:basedOn w:val="1"/>
    <w:next w:val="1"/>
    <w:unhideWhenUsed/>
    <w:qFormat/>
    <w:uiPriority w:val="9"/>
    <w:pPr>
      <w:keepNext/>
      <w:keepLines/>
      <w:numPr>
        <w:ilvl w:val="4"/>
        <w:numId w:val="1"/>
      </w:numPr>
      <w:spacing w:before="50" w:beforeLines="50"/>
      <w:outlineLvl w:val="4"/>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2"/>
      </w:numPr>
    </w:pPr>
  </w:style>
  <w:style w:type="paragraph" w:styleId="8">
    <w:name w:val="Body Text Indent"/>
    <w:basedOn w:val="1"/>
    <w:next w:val="6"/>
    <w:qFormat/>
    <w:uiPriority w:val="0"/>
    <w:pPr>
      <w:spacing w:after="120" w:afterLines="0" w:afterAutospacing="0"/>
      <w:ind w:left="420" w:leftChars="200"/>
    </w:pPr>
  </w:style>
  <w:style w:type="paragraph" w:styleId="9">
    <w:name w:val="Body Text Indent 2"/>
    <w:basedOn w:val="1"/>
    <w:qFormat/>
    <w:uiPriority w:val="0"/>
    <w:pPr>
      <w:snapToGrid w:val="0"/>
      <w:spacing w:line="420" w:lineRule="exact"/>
      <w:ind w:firstLine="480"/>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next w:val="1"/>
    <w:qFormat/>
    <w:uiPriority w:val="0"/>
  </w:style>
  <w:style w:type="paragraph" w:styleId="14">
    <w:name w:val="Body Text First Indent 2"/>
    <w:basedOn w:val="8"/>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首行缩进:  2 字符1"/>
    <w:basedOn w:val="1"/>
    <w:qFormat/>
    <w:uiPriority w:val="0"/>
    <w:pPr>
      <w:spacing w:before="120" w:line="400" w:lineRule="exact"/>
      <w:ind w:firstLine="200" w:firstLineChars="200"/>
    </w:pPr>
    <w:rPr>
      <w:sz w:val="24"/>
      <w:szCs w:val="20"/>
    </w:rPr>
  </w:style>
  <w:style w:type="paragraph" w:customStyle="1" w:styleId="19">
    <w:name w:val="Default"/>
    <w:basedOn w:val="20"/>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20">
    <w:name w:val="纯文本1"/>
    <w:basedOn w:val="1"/>
    <w:qFormat/>
    <w:uiPriority w:val="0"/>
    <w:pPr>
      <w:tabs>
        <w:tab w:val="left" w:pos="1845"/>
      </w:tabs>
      <w:spacing w:line="240" w:lineRule="exact"/>
      <w:jc w:val="center"/>
    </w:pPr>
    <w:rPr>
      <w:sz w:val="18"/>
    </w:rPr>
  </w:style>
  <w:style w:type="paragraph" w:customStyle="1" w:styleId="21">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3">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4">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5">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6">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7">
    <w:name w:val="Normal Indent1"/>
    <w:basedOn w:val="1"/>
    <w:qFormat/>
    <w:uiPriority w:val="0"/>
    <w:pPr>
      <w:ind w:firstLine="420" w:firstLineChars="200"/>
    </w:pPr>
  </w:style>
  <w:style w:type="paragraph" w:customStyle="1" w:styleId="28">
    <w:name w:val="BodyText"/>
    <w:basedOn w:val="1"/>
    <w:qFormat/>
    <w:uiPriority w:val="0"/>
    <w:pPr>
      <w:spacing w:after="120"/>
      <w:jc w:val="both"/>
      <w:textAlignment w:val="baseline"/>
    </w:pPr>
  </w:style>
  <w:style w:type="character" w:customStyle="1" w:styleId="29">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30">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2">
    <w:name w:val="报告1"/>
    <w:basedOn w:val="1"/>
    <w:qFormat/>
    <w:uiPriority w:val="0"/>
    <w:pPr>
      <w:adjustRightInd w:val="0"/>
      <w:spacing w:line="360" w:lineRule="auto"/>
      <w:ind w:firstLine="505"/>
      <w:jc w:val="left"/>
      <w:textAlignment w:val="baseline"/>
    </w:pPr>
    <w:rPr>
      <w:kern w:val="0"/>
      <w:sz w:val="24"/>
    </w:rPr>
  </w:style>
  <w:style w:type="paragraph" w:customStyle="1" w:styleId="33">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1591</Words>
  <Characters>1713</Characters>
  <Lines>0</Lines>
  <Paragraphs>0</Paragraphs>
  <TotalTime>2</TotalTime>
  <ScaleCrop>false</ScaleCrop>
  <LinksUpToDate>false</LinksUpToDate>
  <CharactersWithSpaces>1796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2025-11-27T03:17:00Z</cp:lastPrinted>
  <dcterms:modified xsi:type="dcterms:W3CDTF">2026-06-26T03:39:38Z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9E97802E28934A858D592249BD7C396C_13</vt:lpwstr>
  </property>
  <property fmtid="{D5CDD505-2E9C-101B-9397-08002B2CF9AE}" pid="4" name="KSOTemplateDocerSaveRecord">
    <vt:lpwstr>eyJoZGlkIjoiOTA3YWNiNGY5NTYwYmI5ZWExYmVjZmZhYzE1YmNiMmUiLCJ1c2VySWQiOiI0NDQ3ODQwNzcifQ==</vt:lpwstr>
  </property>
</Properties>
</file>