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87F7A">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396765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关于新疆和盛国际贸易有限责任公司储煤场</w:t>
      </w:r>
    </w:p>
    <w:p w14:paraId="00752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Times New Roman"/>
          <w:sz w:val="44"/>
          <w:szCs w:val="44"/>
          <w:lang w:val="en-US" w:eastAsia="zh-CN"/>
        </w:rPr>
        <w:t>项目</w:t>
      </w:r>
      <w:r>
        <w:rPr>
          <w:rFonts w:hint="default" w:ascii="Times New Roman" w:hAnsi="Times New Roman" w:eastAsia="方正小标宋简体" w:cs="Times New Roman"/>
          <w:b w:val="0"/>
          <w:bCs w:val="0"/>
          <w:color w:val="auto"/>
          <w:spacing w:val="-20"/>
          <w:sz w:val="44"/>
          <w:szCs w:val="44"/>
          <w:lang w:val="en-US" w:eastAsia="zh-CN"/>
        </w:rPr>
        <w:t>环境影响报告表</w:t>
      </w: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新疆和盛国际贸易有限责任公司：</w:t>
      </w:r>
    </w:p>
    <w:p w14:paraId="5663E4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乌鲁木齐博亚天宏环保科技有限公司编制的《新疆和盛国际贸易有限责任公司储煤场项目环境影响报告表》（以下简称《报告表》）收悉。根据《中华人民共和国行政许可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4D3F85E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一、本项目位于新疆乌鲁木齐市</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第十二师</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经济技术开发区</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头屯河区</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三坪农场底坪一街230号中国</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新疆</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自由贸易试验区，厂址中心地理坐标东经87°</w:t>
      </w:r>
      <w:r>
        <w:rPr>
          <w:rFonts w:hint="eastAsia"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59.383</w:t>
      </w:r>
      <w:r>
        <w:rPr>
          <w:rFonts w:hint="eastAsia" w:ascii="Times New Roman" w:hAnsi="Times New Roman" w:eastAsia="仿宋_GB2312" w:cs="Times New Roman"/>
          <w:color w:val="auto"/>
          <w:sz w:val="32"/>
          <w:szCs w:val="32"/>
          <w:lang w:val="en-US" w:eastAsia="zh-CN"/>
        </w:rPr>
        <w:t>″，北纬43°54′</w:t>
      </w:r>
      <w:r>
        <w:rPr>
          <w:rFonts w:hint="eastAsia" w:eastAsia="仿宋_GB2312" w:cs="Times New Roman"/>
          <w:color w:val="auto"/>
          <w:sz w:val="32"/>
          <w:szCs w:val="32"/>
          <w:lang w:val="en-US" w:eastAsia="zh-CN"/>
        </w:rPr>
        <w:t>58.551</w:t>
      </w:r>
      <w:r>
        <w:rPr>
          <w:rFonts w:hint="eastAsia" w:ascii="Times New Roman" w:hAnsi="Times New Roman" w:eastAsia="仿宋_GB2312" w:cs="Times New Roman"/>
          <w:color w:val="auto"/>
          <w:sz w:val="32"/>
          <w:szCs w:val="32"/>
          <w:lang w:val="en-US" w:eastAsia="zh-CN"/>
        </w:rPr>
        <w:t>″。项目东侧、南侧均为空地，北侧为底坪一街，西侧为三坪盛泰地面停车场。</w:t>
      </w:r>
    </w:p>
    <w:p w14:paraId="47824BE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建设内容：本项目为煤炭仓储项目，仅作暂存集运，不涉及煤炭销售。</w:t>
      </w:r>
      <w:r>
        <w:rPr>
          <w:rFonts w:hint="eastAsia" w:eastAsia="仿宋_GB2312" w:cs="Times New Roman"/>
          <w:color w:val="auto"/>
          <w:sz w:val="32"/>
          <w:szCs w:val="32"/>
          <w:highlight w:val="none"/>
          <w:lang w:val="en-US" w:eastAsia="zh-CN"/>
        </w:rPr>
        <w:t>在项目区现有库房基础上建设全封闭环保型煤库三座，危废贮存点一座，配套洗车平台、喷雾抑尘装置、皮带输送机等设施。</w:t>
      </w:r>
      <w:r>
        <w:rPr>
          <w:rFonts w:hint="default" w:ascii="Times New Roman" w:hAnsi="Times New Roman" w:eastAsia="仿宋_GB2312" w:cs="Times New Roman"/>
          <w:color w:val="auto"/>
          <w:sz w:val="32"/>
          <w:szCs w:val="32"/>
          <w:highlight w:val="none"/>
          <w:lang w:val="en-US" w:eastAsia="zh-CN"/>
        </w:rPr>
        <w:t>项目规模为年</w:t>
      </w:r>
      <w:r>
        <w:rPr>
          <w:rFonts w:hint="eastAsia" w:eastAsia="仿宋_GB2312" w:cs="Times New Roman"/>
          <w:color w:val="auto"/>
          <w:sz w:val="32"/>
          <w:szCs w:val="32"/>
          <w:highlight w:val="none"/>
          <w:lang w:val="en-US" w:eastAsia="zh-CN"/>
        </w:rPr>
        <w:t>暂存转运工业煤200</w:t>
      </w:r>
      <w:r>
        <w:rPr>
          <w:rFonts w:hint="default" w:ascii="Times New Roman" w:hAnsi="Times New Roman" w:eastAsia="仿宋_GB2312" w:cs="Times New Roman"/>
          <w:color w:val="auto"/>
          <w:sz w:val="32"/>
          <w:szCs w:val="32"/>
          <w:highlight w:val="none"/>
          <w:lang w:val="en-US" w:eastAsia="zh-CN"/>
        </w:rPr>
        <w:t>万</w:t>
      </w:r>
      <w:r>
        <w:rPr>
          <w:rFonts w:hint="eastAsia" w:eastAsia="仿宋_GB2312" w:cs="Times New Roman"/>
          <w:color w:val="auto"/>
          <w:sz w:val="32"/>
          <w:szCs w:val="32"/>
          <w:highlight w:val="none"/>
          <w:lang w:val="en-US" w:eastAsia="zh-CN"/>
        </w:rPr>
        <w:t>吨</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供暖采用</w:t>
      </w:r>
      <w:r>
        <w:rPr>
          <w:rFonts w:hint="default" w:ascii="Times New Roman" w:hAnsi="Times New Roman" w:eastAsia="仿宋_GB2312" w:cs="Times New Roman"/>
          <w:color w:val="auto"/>
          <w:sz w:val="32"/>
          <w:szCs w:val="32"/>
          <w:highlight w:val="none"/>
          <w:lang w:val="en-US" w:eastAsia="zh-CN"/>
        </w:rPr>
        <w:t>0.5t/h燃气热水锅炉</w:t>
      </w:r>
      <w:r>
        <w:rPr>
          <w:rFonts w:hint="eastAsia" w:eastAsia="仿宋_GB2312" w:cs="Times New Roman"/>
          <w:color w:val="auto"/>
          <w:sz w:val="32"/>
          <w:szCs w:val="32"/>
          <w:highlight w:val="none"/>
          <w:lang w:val="en-US" w:eastAsia="zh-CN"/>
        </w:rPr>
        <w:t>。</w:t>
      </w:r>
    </w:p>
    <w:p w14:paraId="64FABDB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本项目总投资</w:t>
      </w:r>
      <w:r>
        <w:rPr>
          <w:rFonts w:hint="eastAsia"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eastAsia="仿宋_GB2312" w:cs="Times New Roman"/>
          <w:color w:val="auto"/>
          <w:sz w:val="32"/>
          <w:szCs w:val="32"/>
          <w:highlight w:val="none"/>
          <w:lang w:val="en-US" w:eastAsia="zh-CN"/>
        </w:rPr>
        <w:t>38</w:t>
      </w:r>
      <w:r>
        <w:rPr>
          <w:rFonts w:hint="default" w:ascii="Times New Roman" w:hAnsi="Times New Roman" w:eastAsia="仿宋_GB2312" w:cs="Times New Roman"/>
          <w:color w:val="auto"/>
          <w:sz w:val="32"/>
          <w:szCs w:val="32"/>
          <w:highlight w:val="none"/>
          <w:lang w:val="en-US" w:eastAsia="zh-CN"/>
        </w:rPr>
        <w:t>万元，占总投资</w:t>
      </w:r>
      <w:r>
        <w:rPr>
          <w:rFonts w:hint="eastAsia" w:cs="Times New Roman"/>
          <w:bCs/>
          <w:color w:val="auto"/>
          <w:kern w:val="2"/>
          <w:sz w:val="32"/>
          <w:szCs w:val="32"/>
          <w:u w:color="000000"/>
          <w:lang w:val="en-US" w:eastAsia="zh-CN" w:bidi="ar-SA"/>
        </w:rPr>
        <w:t>25.33</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1B5804A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lang w:val="en-US" w:eastAsia="zh-CN"/>
        </w:rPr>
        <w:t>该项目存在未批先建行为，已于20</w:t>
      </w:r>
      <w:r>
        <w:rPr>
          <w:rFonts w:hint="eastAsia" w:eastAsia="仿宋_GB2312" w:cs="Times New Roman"/>
          <w:sz w:val="32"/>
          <w:szCs w:val="32"/>
          <w:lang w:val="en-US" w:eastAsia="zh-CN"/>
        </w:rPr>
        <w:t>26</w:t>
      </w:r>
      <w:r>
        <w:rPr>
          <w:rFonts w:hint="eastAsia"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月对建设单位行政处罚，建设单位</w:t>
      </w:r>
      <w:r>
        <w:rPr>
          <w:rFonts w:hint="eastAsia" w:eastAsia="仿宋_GB2312" w:cs="Times New Roman"/>
          <w:sz w:val="32"/>
          <w:szCs w:val="32"/>
          <w:lang w:val="en-US" w:eastAsia="zh-CN"/>
        </w:rPr>
        <w:t>主动</w:t>
      </w:r>
      <w:r>
        <w:rPr>
          <w:rFonts w:hint="eastAsia" w:ascii="Times New Roman" w:hAnsi="Times New Roman" w:eastAsia="仿宋_GB2312" w:cs="Times New Roman"/>
          <w:sz w:val="32"/>
          <w:szCs w:val="32"/>
          <w:lang w:val="en-US" w:eastAsia="zh-CN"/>
        </w:rPr>
        <w:t>委托开展</w:t>
      </w:r>
      <w:r>
        <w:rPr>
          <w:rFonts w:hint="eastAsia" w:eastAsia="仿宋_GB2312" w:cs="Times New Roman"/>
          <w:sz w:val="32"/>
          <w:szCs w:val="32"/>
          <w:lang w:val="en-US" w:eastAsia="zh-CN"/>
        </w:rPr>
        <w:t>现状环境影响</w:t>
      </w:r>
      <w:r>
        <w:rPr>
          <w:rFonts w:hint="eastAsia" w:ascii="Times New Roman" w:hAnsi="Times New Roman" w:eastAsia="仿宋_GB2312" w:cs="Times New Roman"/>
          <w:sz w:val="32"/>
          <w:szCs w:val="32"/>
          <w:lang w:val="en-US" w:eastAsia="zh-CN"/>
        </w:rPr>
        <w:t>评价</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根据原环保部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环办环评</w:t>
      </w:r>
      <w:r>
        <w:rPr>
          <w:rFonts w:hint="eastAsia" w:ascii="微软雅黑" w:hAnsi="微软雅黑" w:eastAsia="微软雅黑" w:cs="微软雅黑"/>
          <w:sz w:val="32"/>
          <w:szCs w:val="32"/>
          <w:lang w:val="en-US" w:eastAsia="zh-CN"/>
        </w:rPr>
        <w:t>〔</w:t>
      </w:r>
      <w:r>
        <w:rPr>
          <w:rFonts w:hint="eastAsia" w:ascii="Times New Roman" w:hAnsi="Times New Roman" w:eastAsia="仿宋_GB2312" w:cs="Times New Roman"/>
          <w:sz w:val="32"/>
          <w:szCs w:val="32"/>
          <w:lang w:val="en-US" w:eastAsia="zh-CN"/>
        </w:rPr>
        <w:t>2018</w:t>
      </w:r>
      <w:r>
        <w:rPr>
          <w:rFonts w:hint="eastAsia" w:ascii="微软雅黑" w:hAnsi="微软雅黑" w:eastAsia="微软雅黑" w:cs="微软雅黑"/>
          <w:sz w:val="32"/>
          <w:szCs w:val="32"/>
          <w:lang w:val="en-US" w:eastAsia="zh-CN"/>
        </w:rPr>
        <w:t>〕</w:t>
      </w:r>
      <w:r>
        <w:rPr>
          <w:rFonts w:hint="eastAsia" w:ascii="Times New Roman" w:hAnsi="Times New Roman" w:eastAsia="仿宋_GB2312" w:cs="Times New Roman"/>
          <w:sz w:val="32"/>
          <w:szCs w:val="32"/>
          <w:lang w:val="en-US" w:eastAsia="zh-CN"/>
        </w:rPr>
        <w:t>18号</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规定，我局予以受理。</w:t>
      </w:r>
    </w:p>
    <w:p w14:paraId="0EBDF2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二、现状</w:t>
      </w:r>
      <w:r>
        <w:rPr>
          <w:rFonts w:hint="default" w:ascii="Times New Roman" w:hAnsi="Times New Roman" w:eastAsia="仿宋_GB2312" w:cs="Times New Roman"/>
          <w:color w:val="auto"/>
          <w:sz w:val="32"/>
          <w:szCs w:val="32"/>
          <w:lang w:val="en-US" w:eastAsia="zh-CN"/>
        </w:rPr>
        <w:t>评价结论</w:t>
      </w:r>
    </w:p>
    <w:p w14:paraId="34F5E63C">
      <w:pPr>
        <w:pStyle w:val="31"/>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0" w:leftChars="0"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《报告表》表明：本项目产生的废水、废气、固废及噪声采取污染防治措施后，主要污染物能够按照现行标准达标排放。在全面落实《报告表》提出的各项污染防治措施的前提下，该项目是可行的。</w:t>
      </w:r>
    </w:p>
    <w:p w14:paraId="0AB3B389">
      <w:pPr>
        <w:pStyle w:val="31"/>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三、保留运行要求</w:t>
      </w:r>
    </w:p>
    <w:p w14:paraId="396E1689">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w:t>
      </w:r>
      <w:r>
        <w:rPr>
          <w:rFonts w:hint="default" w:ascii="Times New Roman" w:hAnsi="Times New Roman" w:eastAsia="仿宋_GB2312" w:cs="Times New Roman"/>
          <w:color w:val="auto"/>
          <w:sz w:val="32"/>
          <w:szCs w:val="32"/>
          <w:highlight w:val="none"/>
          <w:lang w:val="en-US" w:eastAsia="zh-CN"/>
        </w:rPr>
        <w:t>实废气污染防治措施。本项目煤炭装卸前进行喷淋，煤炭装载堆存在全封闭煤库内进行，并对煤堆进行喷雾抑尘，每个煤库安装一套喷雾装置。车辆运输过程采用洒水抑尘+覆盖毡布措施。煤炭转运过程采用皮带输送，在产尘点使用雾炮车喷雾抑尘装置，输送皮带采用密闭输送廊道。本项目无组织颗粒物执行《煤炭工业污染物排放标准》（GB20426-2006）</w:t>
      </w:r>
      <w:r>
        <w:rPr>
          <w:rFonts w:hint="eastAsia" w:eastAsia="仿宋_GB2312" w:cs="Times New Roman"/>
          <w:color w:val="auto"/>
          <w:sz w:val="32"/>
          <w:szCs w:val="32"/>
          <w:highlight w:val="none"/>
          <w:lang w:val="en-US" w:eastAsia="zh-CN"/>
        </w:rPr>
        <w:t>表5限值要求。</w:t>
      </w:r>
    </w:p>
    <w:p w14:paraId="13C51B98">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落实废水污染防治措施。本项目生产废水进入三级沉淀池处理后回用于车辆冲洗，不外排</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生活污水经市政管网排入十二师三坪新区污水处理厂处理。满足《污水综合排放标准》（GB8978-1996）表4三级标准</w:t>
      </w:r>
      <w:r>
        <w:rPr>
          <w:rFonts w:hint="eastAsia" w:eastAsia="仿宋_GB2312" w:cs="Times New Roman"/>
          <w:color w:val="auto"/>
          <w:sz w:val="32"/>
          <w:szCs w:val="32"/>
          <w:highlight w:val="none"/>
          <w:lang w:val="en-US" w:eastAsia="zh-CN"/>
        </w:rPr>
        <w:t>。</w:t>
      </w:r>
    </w:p>
    <w:p w14:paraId="53623EE8">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本项目运营期噪声源主要为输送机、运输车辆等产生的噪声。产噪设备主要集中在生产区，采取基础减振、定期维护、厂房隔音等措施。满足《工业企业厂界环境噪声排放标准》（GB12348-2008）</w:t>
      </w:r>
      <w:r>
        <w:rPr>
          <w:rFonts w:hint="default" w:ascii="Times New Roman" w:hAnsi="Times New Roman" w:eastAsia="仿宋_GB2312" w:cs="Times New Roman"/>
          <w:bCs/>
          <w:color w:val="auto"/>
          <w:kern w:val="2"/>
          <w:sz w:val="32"/>
          <w:szCs w:val="32"/>
          <w:u w:color="000000"/>
          <w:lang w:val="en-US" w:eastAsia="zh-CN" w:bidi="ar-SA"/>
        </w:rPr>
        <w:t>中</w:t>
      </w:r>
      <w:r>
        <w:rPr>
          <w:rFonts w:hint="eastAsia" w:eastAsia="仿宋_GB2312" w:cs="Times New Roman"/>
          <w:color w:val="auto"/>
          <w:spacing w:val="0"/>
          <w:sz w:val="32"/>
          <w:szCs w:val="32"/>
          <w:highlight w:val="none"/>
          <w:u w:val="none" w:color="auto"/>
          <w:lang w:val="en-US" w:eastAsia="zh-CN"/>
        </w:rPr>
        <w:t>2</w:t>
      </w:r>
      <w:r>
        <w:rPr>
          <w:rFonts w:hint="default" w:ascii="Times New Roman" w:hAnsi="Times New Roman" w:eastAsia="仿宋_GB2312" w:cs="Times New Roman"/>
          <w:color w:val="auto"/>
          <w:spacing w:val="0"/>
          <w:sz w:val="32"/>
          <w:szCs w:val="32"/>
          <w:highlight w:val="none"/>
          <w:u w:val="none" w:color="auto"/>
          <w:lang w:val="en-US" w:eastAsia="zh-CN"/>
        </w:rPr>
        <w:t>类标准要求</w:t>
      </w:r>
      <w:r>
        <w:rPr>
          <w:rFonts w:hint="eastAsia" w:eastAsia="仿宋_GB2312" w:cs="Times New Roman"/>
          <w:color w:val="auto"/>
          <w:spacing w:val="0"/>
          <w:sz w:val="32"/>
          <w:szCs w:val="32"/>
          <w:highlight w:val="none"/>
          <w:u w:val="none" w:color="auto"/>
          <w:lang w:val="en-US" w:eastAsia="zh-CN"/>
        </w:rPr>
        <w:t>。</w:t>
      </w:r>
    </w:p>
    <w:p w14:paraId="3ED1369F">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（四）落实固废污染防治措施。本项目沉淀池污泥，定期清掏，自然风干晾晒后于厂区暂存，定期外售。生活垃圾采用垃圾桶收集</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由园区环卫部门统一清运处置。</w:t>
      </w:r>
    </w:p>
    <w:p w14:paraId="64E0380B">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废</w:t>
      </w:r>
      <w:r>
        <w:rPr>
          <w:rFonts w:hint="eastAsia" w:eastAsia="仿宋_GB2312" w:cs="Times New Roman"/>
          <w:color w:val="auto"/>
          <w:sz w:val="32"/>
          <w:szCs w:val="32"/>
          <w:highlight w:val="none"/>
          <w:u w:val="none"/>
          <w:lang w:val="en-US" w:eastAsia="zh-CN"/>
        </w:rPr>
        <w:t>机油、</w:t>
      </w:r>
      <w:r>
        <w:rPr>
          <w:rFonts w:hint="default" w:ascii="Times New Roman" w:hAnsi="Times New Roman" w:eastAsia="仿宋_GB2312" w:cs="Times New Roman"/>
          <w:color w:val="auto"/>
          <w:sz w:val="32"/>
          <w:szCs w:val="32"/>
          <w:highlight w:val="none"/>
          <w:u w:val="none"/>
          <w:lang w:val="en-US" w:eastAsia="zh-CN"/>
        </w:rPr>
        <w:t>废</w:t>
      </w:r>
      <w:r>
        <w:rPr>
          <w:rFonts w:hint="eastAsia" w:eastAsia="仿宋_GB2312" w:cs="Times New Roman"/>
          <w:color w:val="auto"/>
          <w:sz w:val="32"/>
          <w:szCs w:val="32"/>
          <w:highlight w:val="none"/>
          <w:u w:val="none"/>
          <w:lang w:val="en-US" w:eastAsia="zh-CN"/>
        </w:rPr>
        <w:t>机油</w:t>
      </w:r>
      <w:r>
        <w:rPr>
          <w:rFonts w:hint="default" w:ascii="Times New Roman" w:hAnsi="Times New Roman" w:eastAsia="仿宋_GB2312" w:cs="Times New Roman"/>
          <w:color w:val="auto"/>
          <w:sz w:val="32"/>
          <w:szCs w:val="32"/>
          <w:highlight w:val="none"/>
          <w:u w:val="none"/>
          <w:lang w:val="en-US" w:eastAsia="zh-CN"/>
        </w:rPr>
        <w:t>桶分区暂存于危废贮存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color w:val="auto"/>
          <w:sz w:val="32"/>
          <w:szCs w:val="32"/>
          <w:highlight w:val="none"/>
          <w:u w:val="none"/>
          <w:lang w:val="en-US" w:eastAsia="zh-CN"/>
        </w:rPr>
        <w:t>，交由有危险废物处置资质的单位处理。</w:t>
      </w:r>
      <w:r>
        <w:rPr>
          <w:rFonts w:hint="default" w:ascii="Times New Roman" w:hAnsi="Times New Roman" w:eastAsia="仿宋_GB2312" w:cs="Times New Roman"/>
          <w:bCs/>
          <w:color w:val="auto"/>
          <w:kern w:val="2"/>
          <w:sz w:val="32"/>
          <w:szCs w:val="32"/>
          <w:u w:color="000000"/>
          <w:lang w:val="en-US" w:eastAsia="zh-CN" w:bidi="ar-SA"/>
        </w:rPr>
        <w:t>危险废物贮存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bCs/>
          <w:color w:val="auto"/>
          <w:kern w:val="2"/>
          <w:sz w:val="32"/>
          <w:szCs w:val="32"/>
          <w:u w:color="000000"/>
          <w:lang w:val="en-US" w:eastAsia="zh-CN" w:bidi="ar-SA"/>
        </w:rPr>
        <w:t>建设要求满足《危险废物贮存污染控制标准》（GB18597-2023）中相关要求。</w:t>
      </w:r>
    </w:p>
    <w:p w14:paraId="1FE3E4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w:t>
      </w:r>
      <w:r>
        <w:rPr>
          <w:rFonts w:hint="eastAsia" w:eastAsia="仿宋_GB2312" w:cs="Times New Roman"/>
          <w:bCs/>
          <w:color w:val="auto"/>
          <w:kern w:val="2"/>
          <w:sz w:val="32"/>
          <w:szCs w:val="32"/>
          <w:u w:color="000000"/>
          <w:lang w:val="en-US" w:eastAsia="zh-CN" w:bidi="ar-SA"/>
        </w:rPr>
        <w:t>五</w:t>
      </w:r>
      <w:r>
        <w:rPr>
          <w:rFonts w:hint="default" w:ascii="Times New Roman" w:hAnsi="Times New Roman" w:eastAsia="仿宋_GB2312" w:cs="Times New Roman"/>
          <w:bCs/>
          <w:color w:val="auto"/>
          <w:kern w:val="2"/>
          <w:sz w:val="32"/>
          <w:szCs w:val="32"/>
          <w:u w:color="000000"/>
          <w:lang w:val="en-US" w:eastAsia="zh-CN" w:bidi="ar-SA"/>
        </w:rPr>
        <w:t>）加强项目环境风险防范。建立严格的环境风险管理制度，认真落实报告</w:t>
      </w:r>
      <w:r>
        <w:rPr>
          <w:rFonts w:hint="eastAsia" w:eastAsia="仿宋_GB2312" w:cs="Times New Roman"/>
          <w:bCs/>
          <w:color w:val="auto"/>
          <w:kern w:val="2"/>
          <w:sz w:val="32"/>
          <w:szCs w:val="32"/>
          <w:u w:color="000000"/>
          <w:lang w:val="en-US" w:eastAsia="zh-CN" w:bidi="ar-SA"/>
        </w:rPr>
        <w:t>表</w:t>
      </w:r>
      <w:r>
        <w:rPr>
          <w:rFonts w:hint="default" w:ascii="Times New Roman" w:hAnsi="Times New Roman" w:eastAsia="仿宋_GB2312" w:cs="Times New Roman"/>
          <w:bCs/>
          <w:color w:val="auto"/>
          <w:kern w:val="2"/>
          <w:sz w:val="32"/>
          <w:szCs w:val="32"/>
          <w:u w:color="000000"/>
          <w:lang w:val="en-US" w:eastAsia="zh-CN" w:bidi="ar-SA"/>
        </w:rPr>
        <w:t>提出的各项风险防范措施；编制《突发环境事件应急预案》报生态环境主管部门备案，确保不发生环境污染事故；定期开展突发环境事件应急演练，及时对环境应急预案进行完善。</w:t>
      </w:r>
    </w:p>
    <w:p w14:paraId="6FF619D3">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四、项目建设应严格执行配套建设的环境保护设施与主体工程同时设计、同时施工、同时投产使用的</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环境影响报告表批准后，项目的性质、规模、地点或生态保护、污染防治措施发生重大变动的，应当按要求重新报批环境影响评价文件。项目竣工后正式运营前，根据《排污许可管理条例》依法办理排污许可手续，并对配套建设的环境保护设施进行验收，经验收合格后，项目方可投入运行。</w:t>
      </w:r>
    </w:p>
    <w:p w14:paraId="1B3CBA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2AE06D15">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color w:val="auto"/>
          <w:sz w:val="32"/>
          <w:szCs w:val="32"/>
          <w:lang w:val="en-US" w:eastAsia="zh-CN"/>
        </w:rPr>
      </w:pPr>
    </w:p>
    <w:p w14:paraId="102884F1">
      <w:pPr>
        <w:pStyle w:val="19"/>
        <w:keepNext w:val="0"/>
        <w:keepLines w:val="0"/>
        <w:pageBreakBefore w:val="0"/>
        <w:kinsoku/>
        <w:wordWrap/>
        <w:overflowPunct/>
        <w:topLinePunct w:val="0"/>
        <w:autoSpaceDE/>
        <w:autoSpaceDN/>
        <w:bidi w:val="0"/>
        <w:snapToGrid/>
        <w:spacing w:line="520" w:lineRule="exact"/>
        <w:rPr>
          <w:rFonts w:hint="default"/>
          <w:lang w:val="en-US" w:eastAsia="zh-CN"/>
        </w:rPr>
      </w:pPr>
    </w:p>
    <w:p w14:paraId="2EC11EB8">
      <w:pPr>
        <w:keepNext w:val="0"/>
        <w:keepLines w:val="0"/>
        <w:pageBreakBefore w:val="0"/>
        <w:kinsoku/>
        <w:wordWrap/>
        <w:overflowPunct/>
        <w:topLinePunct w:val="0"/>
        <w:autoSpaceDE/>
        <w:autoSpaceDN/>
        <w:bidi w:val="0"/>
        <w:snapToGrid/>
        <w:spacing w:line="520" w:lineRule="exact"/>
        <w:rPr>
          <w:rFonts w:hint="default"/>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E90096E-8483-4AC9-A587-7768C37EA2B3}"/>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F4ED7F81-92E1-41D3-89E8-8315CF5F65B3}"/>
  </w:font>
  <w:font w:name="微软雅黑">
    <w:panose1 w:val="020B0503020204020204"/>
    <w:charset w:val="86"/>
    <w:family w:val="auto"/>
    <w:pitch w:val="default"/>
    <w:sig w:usb0="80000287" w:usb1="2ACF3C50" w:usb2="00000016" w:usb3="00000000" w:csb0="0004001F" w:csb1="00000000"/>
    <w:embedRegular r:id="rId3" w:fontKey="{4E228390-4A2B-4366-A7EA-6DD03E55F005}"/>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0"/>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0"/>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3"/>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03B507B"/>
    <w:rsid w:val="01954E03"/>
    <w:rsid w:val="02A5264F"/>
    <w:rsid w:val="0303427A"/>
    <w:rsid w:val="03343D40"/>
    <w:rsid w:val="036B03E5"/>
    <w:rsid w:val="03B818B8"/>
    <w:rsid w:val="0418546F"/>
    <w:rsid w:val="0431202E"/>
    <w:rsid w:val="04343F9F"/>
    <w:rsid w:val="049F51EA"/>
    <w:rsid w:val="04B54A0D"/>
    <w:rsid w:val="04B930B4"/>
    <w:rsid w:val="053613BF"/>
    <w:rsid w:val="053D35C4"/>
    <w:rsid w:val="073B0880"/>
    <w:rsid w:val="07592C22"/>
    <w:rsid w:val="076E74DB"/>
    <w:rsid w:val="07C03DF5"/>
    <w:rsid w:val="07DD39B1"/>
    <w:rsid w:val="09A65D5E"/>
    <w:rsid w:val="09FC6C36"/>
    <w:rsid w:val="0A300945"/>
    <w:rsid w:val="0BC57258"/>
    <w:rsid w:val="0BDF05C2"/>
    <w:rsid w:val="0C211C5A"/>
    <w:rsid w:val="0DA67DA3"/>
    <w:rsid w:val="0DC736EF"/>
    <w:rsid w:val="0DE620DB"/>
    <w:rsid w:val="0E3A5F83"/>
    <w:rsid w:val="0E9B4DA8"/>
    <w:rsid w:val="0EA801FA"/>
    <w:rsid w:val="0F355C67"/>
    <w:rsid w:val="10705587"/>
    <w:rsid w:val="10A4745D"/>
    <w:rsid w:val="1130362F"/>
    <w:rsid w:val="12404419"/>
    <w:rsid w:val="12C64D9E"/>
    <w:rsid w:val="132F6CC0"/>
    <w:rsid w:val="1483206F"/>
    <w:rsid w:val="14FD529D"/>
    <w:rsid w:val="152E726E"/>
    <w:rsid w:val="15447BCF"/>
    <w:rsid w:val="15B71C1A"/>
    <w:rsid w:val="16362036"/>
    <w:rsid w:val="17712A16"/>
    <w:rsid w:val="17FD79ED"/>
    <w:rsid w:val="184A2555"/>
    <w:rsid w:val="185B5474"/>
    <w:rsid w:val="19A8293B"/>
    <w:rsid w:val="1A1B029D"/>
    <w:rsid w:val="1B616AD1"/>
    <w:rsid w:val="1BA54230"/>
    <w:rsid w:val="1BDC1A17"/>
    <w:rsid w:val="1CAE56BC"/>
    <w:rsid w:val="1CE957F4"/>
    <w:rsid w:val="1D37451A"/>
    <w:rsid w:val="1E3D7AF5"/>
    <w:rsid w:val="1EDF0A99"/>
    <w:rsid w:val="1F6B0692"/>
    <w:rsid w:val="1F811721"/>
    <w:rsid w:val="1F8F686F"/>
    <w:rsid w:val="1FC030C2"/>
    <w:rsid w:val="20186416"/>
    <w:rsid w:val="20232162"/>
    <w:rsid w:val="20920B1E"/>
    <w:rsid w:val="209C6FB6"/>
    <w:rsid w:val="21A71CFD"/>
    <w:rsid w:val="21EE2624"/>
    <w:rsid w:val="22FC519D"/>
    <w:rsid w:val="23D77FA4"/>
    <w:rsid w:val="24197569"/>
    <w:rsid w:val="24DF43F3"/>
    <w:rsid w:val="277C3179"/>
    <w:rsid w:val="27A72484"/>
    <w:rsid w:val="27B950AC"/>
    <w:rsid w:val="28B30D34"/>
    <w:rsid w:val="2A043D84"/>
    <w:rsid w:val="2A3D5940"/>
    <w:rsid w:val="2BB20A80"/>
    <w:rsid w:val="2C526A72"/>
    <w:rsid w:val="2C6F3531"/>
    <w:rsid w:val="2D473EFE"/>
    <w:rsid w:val="2E1413FF"/>
    <w:rsid w:val="31C250C8"/>
    <w:rsid w:val="323B7709"/>
    <w:rsid w:val="32CB48A0"/>
    <w:rsid w:val="33C66FC5"/>
    <w:rsid w:val="342D0001"/>
    <w:rsid w:val="35377AB9"/>
    <w:rsid w:val="353B1465"/>
    <w:rsid w:val="35796375"/>
    <w:rsid w:val="36356EAC"/>
    <w:rsid w:val="37130FE3"/>
    <w:rsid w:val="37360960"/>
    <w:rsid w:val="378857B3"/>
    <w:rsid w:val="378C012D"/>
    <w:rsid w:val="37982D8A"/>
    <w:rsid w:val="37ED6CAA"/>
    <w:rsid w:val="38421659"/>
    <w:rsid w:val="394207DB"/>
    <w:rsid w:val="3A1B478A"/>
    <w:rsid w:val="3A7A6DCD"/>
    <w:rsid w:val="3B56320E"/>
    <w:rsid w:val="3B702097"/>
    <w:rsid w:val="3C457435"/>
    <w:rsid w:val="3CD13EDB"/>
    <w:rsid w:val="3E407CE8"/>
    <w:rsid w:val="3E7478F3"/>
    <w:rsid w:val="3EFC3218"/>
    <w:rsid w:val="408D1F7C"/>
    <w:rsid w:val="409F2D25"/>
    <w:rsid w:val="41481ED3"/>
    <w:rsid w:val="42141B9B"/>
    <w:rsid w:val="426A7BCE"/>
    <w:rsid w:val="43611640"/>
    <w:rsid w:val="440C3582"/>
    <w:rsid w:val="448434D9"/>
    <w:rsid w:val="457C4008"/>
    <w:rsid w:val="46821C9A"/>
    <w:rsid w:val="46C40A3A"/>
    <w:rsid w:val="4735463A"/>
    <w:rsid w:val="47A05AAA"/>
    <w:rsid w:val="483671E0"/>
    <w:rsid w:val="494C3228"/>
    <w:rsid w:val="496F3E8B"/>
    <w:rsid w:val="497A4F35"/>
    <w:rsid w:val="4AEF475E"/>
    <w:rsid w:val="4B3B3D3D"/>
    <w:rsid w:val="4C1D505D"/>
    <w:rsid w:val="4C935F3D"/>
    <w:rsid w:val="4CB30DFF"/>
    <w:rsid w:val="4CCC0113"/>
    <w:rsid w:val="4E497B5F"/>
    <w:rsid w:val="4EE6170D"/>
    <w:rsid w:val="51A62C6F"/>
    <w:rsid w:val="522C7607"/>
    <w:rsid w:val="550B1D3D"/>
    <w:rsid w:val="559F61B5"/>
    <w:rsid w:val="56466840"/>
    <w:rsid w:val="565A77FA"/>
    <w:rsid w:val="56982E14"/>
    <w:rsid w:val="573617D2"/>
    <w:rsid w:val="57FD08D3"/>
    <w:rsid w:val="58635A95"/>
    <w:rsid w:val="58AC6A92"/>
    <w:rsid w:val="58E209C9"/>
    <w:rsid w:val="5902641E"/>
    <w:rsid w:val="5B107A78"/>
    <w:rsid w:val="5B5201FC"/>
    <w:rsid w:val="5C9556DA"/>
    <w:rsid w:val="5CB5471F"/>
    <w:rsid w:val="5CE96177"/>
    <w:rsid w:val="5D4B0BE0"/>
    <w:rsid w:val="5D975035"/>
    <w:rsid w:val="5E8667BF"/>
    <w:rsid w:val="5F0A7158"/>
    <w:rsid w:val="5FA01104"/>
    <w:rsid w:val="616B35FF"/>
    <w:rsid w:val="61ED1CAB"/>
    <w:rsid w:val="632C5E80"/>
    <w:rsid w:val="633839B4"/>
    <w:rsid w:val="637F05E7"/>
    <w:rsid w:val="63E1404C"/>
    <w:rsid w:val="640435FE"/>
    <w:rsid w:val="6436423C"/>
    <w:rsid w:val="646B3552"/>
    <w:rsid w:val="64A70DF2"/>
    <w:rsid w:val="652303E3"/>
    <w:rsid w:val="678A222B"/>
    <w:rsid w:val="67D113D6"/>
    <w:rsid w:val="67E956CD"/>
    <w:rsid w:val="68A87B77"/>
    <w:rsid w:val="69E6594B"/>
    <w:rsid w:val="69ED55BD"/>
    <w:rsid w:val="6A9A30D8"/>
    <w:rsid w:val="6AB26975"/>
    <w:rsid w:val="6AE544EF"/>
    <w:rsid w:val="6B923E7E"/>
    <w:rsid w:val="6C9C3206"/>
    <w:rsid w:val="6CF32868"/>
    <w:rsid w:val="6D1A3FF7"/>
    <w:rsid w:val="6DD8026E"/>
    <w:rsid w:val="6F72024E"/>
    <w:rsid w:val="6FFE1AE2"/>
    <w:rsid w:val="723E2669"/>
    <w:rsid w:val="738C16D6"/>
    <w:rsid w:val="73BC2374"/>
    <w:rsid w:val="740718AD"/>
    <w:rsid w:val="743374C1"/>
    <w:rsid w:val="74E42CE2"/>
    <w:rsid w:val="75114B05"/>
    <w:rsid w:val="755C6E6D"/>
    <w:rsid w:val="75BA46FD"/>
    <w:rsid w:val="76123086"/>
    <w:rsid w:val="7666465D"/>
    <w:rsid w:val="76F8372F"/>
    <w:rsid w:val="77B016F4"/>
    <w:rsid w:val="77CC387B"/>
    <w:rsid w:val="77EA1CD8"/>
    <w:rsid w:val="797B56E2"/>
    <w:rsid w:val="79A4094F"/>
    <w:rsid w:val="7AAB3520"/>
    <w:rsid w:val="7C555D07"/>
    <w:rsid w:val="7C7F037E"/>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paragraph" w:styleId="3">
    <w:name w:val="heading 5"/>
    <w:basedOn w:val="1"/>
    <w:next w:val="1"/>
    <w:unhideWhenUsed/>
    <w:qFormat/>
    <w:uiPriority w:val="9"/>
    <w:pPr>
      <w:keepNext/>
      <w:keepLines/>
      <w:numPr>
        <w:ilvl w:val="4"/>
        <w:numId w:val="1"/>
      </w:numPr>
      <w:spacing w:before="50" w:beforeLines="50"/>
      <w:outlineLvl w:val="4"/>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2"/>
      </w:numPr>
    </w:pPr>
  </w:style>
  <w:style w:type="paragraph" w:styleId="8">
    <w:name w:val="Body Text Indent"/>
    <w:basedOn w:val="1"/>
    <w:next w:val="6"/>
    <w:qFormat/>
    <w:uiPriority w:val="0"/>
    <w:pPr>
      <w:spacing w:after="120" w:afterLines="0" w:afterAutospacing="0"/>
      <w:ind w:left="420" w:leftChars="200"/>
    </w:pPr>
  </w:style>
  <w:style w:type="paragraph" w:styleId="9">
    <w:name w:val="Body Text Indent 2"/>
    <w:basedOn w:val="1"/>
    <w:qFormat/>
    <w:uiPriority w:val="0"/>
    <w:pPr>
      <w:snapToGrid w:val="0"/>
      <w:spacing w:line="420" w:lineRule="exact"/>
      <w:ind w:firstLine="480"/>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able of figures"/>
    <w:basedOn w:val="1"/>
    <w:next w:val="1"/>
    <w:qFormat/>
    <w:uiPriority w:val="0"/>
    <w:pPr>
      <w:autoSpaceDE w:val="0"/>
      <w:autoSpaceDN w:val="0"/>
      <w:spacing w:line="240" w:lineRule="auto"/>
      <w:ind w:firstLine="0" w:firstLineChars="0"/>
      <w:jc w:val="center"/>
    </w:pPr>
    <w:rPr>
      <w:b/>
      <w:bCs/>
      <w:iCs/>
    </w:rPr>
  </w:style>
  <w:style w:type="paragraph" w:styleId="13">
    <w:name w:val="Body Text First Indent"/>
    <w:basedOn w:val="6"/>
    <w:next w:val="1"/>
    <w:qFormat/>
    <w:uiPriority w:val="0"/>
  </w:style>
  <w:style w:type="paragraph" w:styleId="14">
    <w:name w:val="Body Text First Indent 2"/>
    <w:basedOn w:val="8"/>
    <w:next w:val="1"/>
    <w:qFormat/>
    <w:uiPriority w:val="0"/>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首行缩进:  2 字符1"/>
    <w:basedOn w:val="1"/>
    <w:qFormat/>
    <w:uiPriority w:val="0"/>
    <w:pPr>
      <w:spacing w:before="120" w:line="400" w:lineRule="exact"/>
      <w:ind w:firstLine="200" w:firstLineChars="200"/>
    </w:pPr>
    <w:rPr>
      <w:sz w:val="24"/>
      <w:szCs w:val="20"/>
    </w:rPr>
  </w:style>
  <w:style w:type="paragraph" w:customStyle="1" w:styleId="19">
    <w:name w:val="Default"/>
    <w:basedOn w:val="20"/>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20">
    <w:name w:val="1 表头"/>
    <w:basedOn w:val="4"/>
    <w:qFormat/>
    <w:uiPriority w:val="0"/>
    <w:pPr>
      <w:adjustRightInd w:val="0"/>
      <w:snapToGrid w:val="0"/>
      <w:spacing w:line="240" w:lineRule="auto"/>
      <w:ind w:firstLine="0" w:firstLineChars="0"/>
      <w:jc w:val="center"/>
    </w:pPr>
    <w:rPr>
      <w:b/>
      <w:color w:val="000000"/>
      <w:sz w:val="21"/>
      <w:szCs w:val="21"/>
    </w:rPr>
  </w:style>
  <w:style w:type="paragraph" w:customStyle="1" w:styleId="21">
    <w:name w:val="纯文本1"/>
    <w:basedOn w:val="1"/>
    <w:qFormat/>
    <w:uiPriority w:val="0"/>
    <w:pPr>
      <w:tabs>
        <w:tab w:val="left" w:pos="1845"/>
      </w:tabs>
      <w:spacing w:line="240" w:lineRule="exact"/>
      <w:jc w:val="center"/>
    </w:pPr>
    <w:rPr>
      <w:sz w:val="18"/>
    </w:rPr>
  </w:style>
  <w:style w:type="paragraph" w:customStyle="1" w:styleId="22">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5">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6">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7">
    <w:name w:val="Normal Indent1"/>
    <w:basedOn w:val="1"/>
    <w:qFormat/>
    <w:uiPriority w:val="0"/>
    <w:pPr>
      <w:ind w:firstLine="420" w:firstLineChars="200"/>
    </w:pPr>
  </w:style>
  <w:style w:type="paragraph" w:customStyle="1" w:styleId="28">
    <w:name w:val="BodyText"/>
    <w:basedOn w:val="1"/>
    <w:qFormat/>
    <w:uiPriority w:val="0"/>
    <w:pPr>
      <w:spacing w:after="120"/>
      <w:jc w:val="both"/>
      <w:textAlignment w:val="baseline"/>
    </w:pPr>
  </w:style>
  <w:style w:type="character" w:customStyle="1" w:styleId="29">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30">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2">
    <w:name w:val="报告1"/>
    <w:basedOn w:val="1"/>
    <w:qFormat/>
    <w:uiPriority w:val="0"/>
    <w:pPr>
      <w:adjustRightInd w:val="0"/>
      <w:spacing w:line="360" w:lineRule="auto"/>
      <w:ind w:firstLine="505"/>
      <w:jc w:val="left"/>
      <w:textAlignment w:val="baseline"/>
    </w:pPr>
    <w:rPr>
      <w:kern w:val="0"/>
      <w:sz w:val="24"/>
    </w:rPr>
  </w:style>
  <w:style w:type="paragraph" w:customStyle="1" w:styleId="33">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1551</Words>
  <Characters>1643</Characters>
  <Lines>0</Lines>
  <Paragraphs>0</Paragraphs>
  <TotalTime>12</TotalTime>
  <ScaleCrop>false</ScaleCrop>
  <LinksUpToDate>false</LinksUpToDate>
  <CharactersWithSpaces>1727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2026-05-09T11:36:00Z</cp:lastPrinted>
  <dcterms:modified xsi:type="dcterms:W3CDTF">2026-06-26T03:44:03Z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D11D62AABE4D44338097C23947793766_13</vt:lpwstr>
  </property>
  <property fmtid="{D5CDD505-2E9C-101B-9397-08002B2CF9AE}" pid="4" name="KSOTemplateDocerSaveRecord">
    <vt:lpwstr>eyJoZGlkIjoiOTA3YWNiNGY5NTYwYmI5ZWExYmVjZmZhYzE1YmNiMmUiLCJ1c2VySWQiOiI0NDQ3ODQwNzcifQ==</vt:lpwstr>
  </property>
</Properties>
</file>