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pPr w:leftFromText="180" w:rightFromText="180" w:vertAnchor="page" w:horzAnchor="page" w:tblpX="1664" w:tblpY="1408"/>
        <w:tblOverlap w:val="never"/>
        <w:tblW w:w="8840" w:type="dxa"/>
        <w:tblInd w:w="0" w:type="dxa"/>
        <w:tblBorders>
          <w:top w:val="none" w:color="auto" w:sz="0" w:space="0"/>
          <w:left w:val="none" w:color="auto" w:sz="0" w:space="0"/>
          <w:bottom w:val="single" w:color="FF0000"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840"/>
      </w:tblGrid>
      <w:tr w14:paraId="7D991BE2">
        <w:tblPrEx>
          <w:tblBorders>
            <w:top w:val="none" w:color="auto" w:sz="0" w:space="0"/>
            <w:left w:val="none" w:color="auto" w:sz="0" w:space="0"/>
            <w:bottom w:val="single" w:color="FF0000"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trPr>
        <w:tc>
          <w:tcPr>
            <w:tcW w:w="8840" w:type="dxa"/>
            <w:tcBorders>
              <w:bottom w:val="thinThickLargeGap" w:color="FF0000" w:sz="18" w:space="0"/>
            </w:tcBorders>
            <w:vAlign w:val="top"/>
          </w:tcPr>
          <w:p w14:paraId="79DCBD86">
            <w:pPr>
              <w:spacing w:line="560" w:lineRule="exact"/>
              <w:jc w:val="center"/>
              <w:rPr>
                <w:rFonts w:hint="default" w:ascii="仿宋_GB2312" w:hAnsi="仿宋_GB2312" w:eastAsia="仿宋_GB2312" w:cs="仿宋_GB2312"/>
                <w:kern w:val="0"/>
                <w:sz w:val="52"/>
                <w:szCs w:val="52"/>
                <w:lang w:val="en-US"/>
              </w:rPr>
            </w:pPr>
            <w:r>
              <w:rPr>
                <w:rFonts w:hint="eastAsia" w:ascii="方正小标宋简体" w:hAnsi="方正小标宋简体" w:eastAsia="方正小标宋简体" w:cs="方正小标宋简体"/>
                <w:snapToGrid w:val="0"/>
                <w:color w:val="FF0000"/>
                <w:spacing w:val="28"/>
                <w:w w:val="100"/>
                <w:kern w:val="0"/>
                <w:sz w:val="52"/>
                <w:szCs w:val="52"/>
                <w:fitText w:val="8592" w:id="1403341587"/>
                <w:lang w:val="en-US" w:eastAsia="zh-CN"/>
              </w:rPr>
              <w:t>新疆生产建设兵团第十二师民政</w:t>
            </w:r>
            <w:r>
              <w:rPr>
                <w:rFonts w:hint="eastAsia" w:ascii="方正小标宋简体" w:hAnsi="方正小标宋简体" w:eastAsia="方正小标宋简体" w:cs="方正小标宋简体"/>
                <w:snapToGrid w:val="0"/>
                <w:color w:val="FF0000"/>
                <w:spacing w:val="4"/>
                <w:w w:val="100"/>
                <w:kern w:val="0"/>
                <w:sz w:val="52"/>
                <w:szCs w:val="52"/>
                <w:fitText w:val="8592" w:id="1403341587"/>
                <w:lang w:val="en-US" w:eastAsia="zh-CN"/>
              </w:rPr>
              <w:t>局</w:t>
            </w:r>
          </w:p>
        </w:tc>
      </w:tr>
    </w:tbl>
    <w:p w14:paraId="038B936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32"/>
          <w:szCs w:val="32"/>
          <w:lang w:val="en-US" w:eastAsia="zh-CN"/>
        </w:rPr>
      </w:pPr>
    </w:p>
    <w:p w14:paraId="2C1FE30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Times New Roman" w:hAnsi="Times New Roman" w:eastAsia="方正小标宋简体" w:cs="Times New Roman"/>
          <w:sz w:val="44"/>
          <w:szCs w:val="44"/>
          <w:lang w:val="en-US" w:eastAsia="zh-CN"/>
        </w:rPr>
      </w:pPr>
      <w:r>
        <w:rPr>
          <w:rFonts w:hint="eastAsia" w:ascii="Times New Roman" w:hAnsi="Times New Roman" w:eastAsia="方正小标宋简体" w:cs="Times New Roman"/>
          <w:sz w:val="44"/>
          <w:szCs w:val="44"/>
          <w:lang w:val="en-US" w:eastAsia="zh-CN"/>
        </w:rPr>
        <w:t>关于《第十二师养老服务机构公建民营管理办法（试行）》（送审稿）的</w:t>
      </w:r>
      <w:r>
        <w:rPr>
          <w:rFonts w:hint="default" w:ascii="Times New Roman" w:hAnsi="Times New Roman" w:eastAsia="方正小标宋简体" w:cs="Times New Roman"/>
          <w:sz w:val="44"/>
          <w:szCs w:val="44"/>
          <w:lang w:val="en-US" w:eastAsia="zh-CN"/>
        </w:rPr>
        <w:t>起草说明</w:t>
      </w:r>
    </w:p>
    <w:p w14:paraId="2CDF3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imes New Roman" w:hAnsi="Times New Roman" w:eastAsia="仿宋_GB2312" w:cs="Times New Roman"/>
          <w:sz w:val="32"/>
          <w:szCs w:val="32"/>
          <w:lang w:val="en-US" w:eastAsia="zh-CN"/>
        </w:rPr>
      </w:pPr>
    </w:p>
    <w:p w14:paraId="2D5731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按照民政部及兵团民政局对促进和规范公建养老服务设施委托社会力量运营管理有关要求，我单位起草了《第十二师养老服务机构公建民营管理办法（试行）（送审稿）》（以下简称办法），现将有关情况说明如下：</w:t>
      </w:r>
    </w:p>
    <w:p w14:paraId="70DAF85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一、起草背景</w:t>
      </w:r>
    </w:p>
    <w:p w14:paraId="32AA4D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制定的背景及必要性。</w:t>
      </w:r>
      <w:r>
        <w:rPr>
          <w:rFonts w:hint="default" w:ascii="Times New Roman" w:hAnsi="Times New Roman" w:eastAsia="仿宋_GB2312" w:cs="Times New Roman"/>
          <w:sz w:val="32"/>
          <w:szCs w:val="32"/>
          <w:lang w:val="en-US" w:eastAsia="zh-CN"/>
        </w:rPr>
        <w:t>2020年9月，民政部印发《养老机构管理办法》（民政部令第66号），明确政府投资兴办的养老机构可通过委托管理、租赁经营等方式，交由社会力量运营管理。2025年1月，兵团民政局联合国资委、发改委、财政局印发《兵团公建养老服务设施委托社会力量运营管理办法（试行）》（兵民政发〔2025〕8号），进一步对公建养老服务设施委托社会力量运营管理工作作出专项规范。我师现有5家运营养老院均为公建民营养老机构，为全面放开养老服务市场、引导和支持社会力量深度参与养老服务发展，规范全师公建民营养老机构运营管理工作，严格落实上级政策文件及法律法规精神，结合十二师养老服务工作实际，特制定本办法。</w:t>
      </w:r>
    </w:p>
    <w:p w14:paraId="0C0150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lang w:val="en-US" w:eastAsia="zh-CN"/>
        </w:rPr>
        <w:t>（二）拟解决的主要问题。</w:t>
      </w:r>
      <w:r>
        <w:rPr>
          <w:rFonts w:hint="eastAsia" w:ascii="仿宋_GB2312" w:hAnsi="仿宋_GB2312" w:eastAsia="仿宋_GB2312" w:cs="仿宋_GB2312"/>
          <w:sz w:val="32"/>
          <w:szCs w:val="32"/>
          <w:lang w:val="en-US" w:eastAsia="zh-CN"/>
        </w:rPr>
        <w:t>当前，我师公建民营养老机构在日常运营过程中，存在诸多短板和突出问题，主要包括：机构公益属性弱化、国有资产监管管控不严、养老服务质量参差不齐；同时还存在权责边界划分不清晰、财务管理制度落实不规范、机构准入退出机制不健全、安全生产服务保障存在隐患等问题，制约了全师养老服务行业规范化、高质量发展。</w:t>
      </w:r>
    </w:p>
    <w:p w14:paraId="0BA8A7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二、起草过程和制定依据</w:t>
      </w:r>
    </w:p>
    <w:p w14:paraId="3C2B8C7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楷体_GB2312" w:hAnsi="楷体_GB2312" w:eastAsia="楷体_GB2312" w:cs="楷体_GB2312"/>
          <w:sz w:val="32"/>
          <w:szCs w:val="32"/>
          <w:lang w:val="en-US" w:eastAsia="zh-CN"/>
        </w:rPr>
        <w:t>（一）起草过程。</w:t>
      </w:r>
      <w:r>
        <w:rPr>
          <w:rFonts w:hint="eastAsia" w:ascii="仿宋_GB2312" w:hAnsi="仿宋_GB2312" w:eastAsia="仿宋_GB2312" w:cs="仿宋_GB2312"/>
          <w:sz w:val="32"/>
          <w:szCs w:val="32"/>
          <w:lang w:val="en-US" w:eastAsia="zh-CN"/>
        </w:rPr>
        <w:t>师民政局针对公建民营养老机构运营现状开展实地调研，全面梳理当前存在的突出问题；对照相关政策文件起草本办法初稿，随后面向社会公开征求公众意见，结合各方反馈反复打磨文稿、细化完善条款，严格保障办法内容合法合规、贴合行业实际，最终形成本次送审稿。</w:t>
      </w:r>
    </w:p>
    <w:p w14:paraId="79A1C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（二）制定依据。</w:t>
      </w:r>
      <w:r>
        <w:rPr>
          <w:rFonts w:hint="default" w:ascii="Times New Roman" w:hAnsi="Times New Roman" w:eastAsia="仿宋_GB2312" w:cs="Times New Roman"/>
          <w:sz w:val="32"/>
          <w:szCs w:val="32"/>
        </w:rPr>
        <w:t>《养老机构管理办法》（民政部令第66号</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2020年9月1日，现行有效</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《关于深化兵团养老服务改革发展的工作方案》（新兵党办发〔2025〕22号</w:t>
      </w:r>
      <w:r>
        <w:rPr>
          <w:rFonts w:hint="eastAsia" w:ascii="Times New Roman" w:hAnsi="Times New Roman" w:eastAsia="仿宋_GB2312" w:cs="Times New Roman"/>
          <w:sz w:val="32"/>
          <w:szCs w:val="32"/>
          <w:lang w:val="en-US" w:eastAsia="zh-CN"/>
        </w:rPr>
        <w:t>，2025年12月30日，现行有效</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《兵团公建养老服务设施委托社会力量运营管理办法（</w:t>
      </w:r>
      <w:r>
        <w:rPr>
          <w:rFonts w:hint="default" w:ascii="Times New Roman" w:hAnsi="Times New Roman" w:eastAsia="仿宋_GB2312" w:cs="Times New Roman"/>
          <w:sz w:val="32"/>
          <w:szCs w:val="32"/>
          <w:lang w:val="en-US" w:eastAsia="zh-CN"/>
        </w:rPr>
        <w:t>试行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兵民政发〔2025〕8号</w:t>
      </w:r>
      <w:r>
        <w:rPr>
          <w:rFonts w:hint="eastAsia" w:ascii="Times New Roman" w:hAnsi="Times New Roman" w:eastAsia="仿宋_GB2312" w:cs="Times New Roman"/>
          <w:sz w:val="32"/>
          <w:szCs w:val="32"/>
          <w:lang w:val="en-US" w:eastAsia="zh-CN"/>
        </w:rPr>
        <w:t>，2025年1月26日，现行有效</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lang w:val="en-US" w:eastAsia="zh-CN"/>
        </w:rPr>
        <w:t>《兵团养老机构预收费管理办法（试行）》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兵民政发〔2025〕</w:t>
      </w:r>
      <w:r>
        <w:rPr>
          <w:rFonts w:hint="eastAsia" w:ascii="Times New Roman" w:hAnsi="Times New Roman" w:eastAsia="仿宋_GB2312" w:cs="Times New Roman"/>
          <w:sz w:val="32"/>
          <w:szCs w:val="32"/>
          <w:lang w:val="en-US" w:eastAsia="zh-CN"/>
        </w:rPr>
        <w:t>26</w:t>
      </w:r>
      <w:r>
        <w:rPr>
          <w:rFonts w:hint="default" w:ascii="Times New Roman" w:hAnsi="Times New Roman" w:eastAsia="仿宋_GB2312" w:cs="Times New Roman"/>
          <w:sz w:val="32"/>
          <w:szCs w:val="32"/>
          <w:lang w:val="en-US" w:eastAsia="zh-CN"/>
        </w:rPr>
        <w:t>号</w:t>
      </w:r>
      <w:r>
        <w:rPr>
          <w:rFonts w:hint="eastAsia" w:ascii="Times New Roman" w:hAnsi="Times New Roman" w:eastAsia="仿宋_GB2312" w:cs="Times New Roman"/>
          <w:sz w:val="32"/>
          <w:szCs w:val="32"/>
          <w:lang w:val="en-US" w:eastAsia="zh-CN"/>
        </w:rPr>
        <w:t>，2025年5月23日，现行有效</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eastAsia="zh-CN"/>
        </w:rPr>
        <w:t>。</w:t>
      </w:r>
    </w:p>
    <w:p w14:paraId="3ADCA8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三、起草过程中的不同意见和协调情况</w:t>
      </w:r>
    </w:p>
    <w:p w14:paraId="50A1582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6月16日-6月26日，师民政局通过十二师政务网发布《第十二师民政局关于公开征求&lt;第十二师养老服务机构公建民营管理办法（试行）（征求意见稿）&gt;意见的公告》，未收到反馈的意见建议。</w:t>
      </w:r>
    </w:p>
    <w:p w14:paraId="2AC4EA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四、规范性文件的主要内容</w:t>
      </w:r>
    </w:p>
    <w:p w14:paraId="355146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《办法》共</w:t>
      </w:r>
      <w:r>
        <w:rPr>
          <w:rFonts w:hint="eastAsia" w:ascii="Times New Roman" w:hAnsi="Times New Roman" w:eastAsia="仿宋_GB2312" w:cs="Times New Roman"/>
          <w:sz w:val="32"/>
          <w:szCs w:val="32"/>
          <w:lang w:val="en-US" w:eastAsia="zh-CN"/>
        </w:rPr>
        <w:t>五</w:t>
      </w:r>
      <w:r>
        <w:rPr>
          <w:rFonts w:hint="default" w:ascii="Times New Roman" w:hAnsi="Times New Roman" w:eastAsia="仿宋_GB2312" w:cs="Times New Roman"/>
          <w:sz w:val="32"/>
          <w:szCs w:val="32"/>
        </w:rPr>
        <w:t>章三十四条，包括总则、组织实施、运营管理、监督管理、附则。主要内容有：</w:t>
      </w:r>
    </w:p>
    <w:p w14:paraId="1C9F32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（一）明确</w:t>
      </w:r>
      <w:r>
        <w:rPr>
          <w:rFonts w:hint="eastAsia" w:ascii="楷体_GB2312" w:hAnsi="楷体_GB2312" w:eastAsia="楷体_GB2312" w:cs="楷体_GB2312"/>
          <w:sz w:val="32"/>
          <w:szCs w:val="32"/>
          <w:lang w:val="en-US" w:eastAsia="zh-CN"/>
        </w:rPr>
        <w:t>适用范围及</w:t>
      </w:r>
      <w:r>
        <w:rPr>
          <w:rFonts w:hint="eastAsia" w:ascii="楷体_GB2312" w:hAnsi="楷体_GB2312" w:eastAsia="楷体_GB2312" w:cs="楷体_GB2312"/>
          <w:sz w:val="32"/>
          <w:szCs w:val="32"/>
        </w:rPr>
        <w:t>施行主体。</w:t>
      </w:r>
      <w:r>
        <w:rPr>
          <w:rFonts w:hint="default" w:ascii="Times New Roman" w:hAnsi="Times New Roman" w:eastAsia="仿宋_GB2312" w:cs="Times New Roman"/>
          <w:sz w:val="32"/>
          <w:szCs w:val="32"/>
        </w:rPr>
        <w:t>总则明确了可以实施公建民营的养老服务设施类型，强调了公建民营养老服务</w:t>
      </w:r>
      <w:r>
        <w:rPr>
          <w:rFonts w:hint="eastAsia" w:ascii="Times New Roman" w:hAnsi="Times New Roman" w:eastAsia="仿宋_GB2312" w:cs="Times New Roman"/>
          <w:sz w:val="32"/>
          <w:szCs w:val="32"/>
          <w:lang w:val="en-US" w:eastAsia="zh-CN"/>
        </w:rPr>
        <w:t>应坚持的原则，压实民政部门和其他有关部门职责。</w:t>
      </w:r>
    </w:p>
    <w:p w14:paraId="104AE8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eastAsia" w:ascii="楷体_GB2312" w:hAnsi="楷体_GB2312" w:eastAsia="楷体_GB2312" w:cs="楷体_GB2312"/>
          <w:sz w:val="32"/>
          <w:szCs w:val="32"/>
        </w:rPr>
        <w:t>（二）规范组织实施程序。</w:t>
      </w:r>
      <w:r>
        <w:rPr>
          <w:rFonts w:hint="default" w:ascii="Times New Roman" w:hAnsi="Times New Roman" w:eastAsia="仿宋_GB2312" w:cs="Times New Roman"/>
          <w:sz w:val="32"/>
          <w:szCs w:val="32"/>
        </w:rPr>
        <w:t>第二章对公建民营的组织实施、运营方应具备的条件、委托经营合同的签订</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变更和解除</w:t>
      </w:r>
      <w:r>
        <w:rPr>
          <w:rFonts w:hint="default" w:ascii="Times New Roman" w:hAnsi="Times New Roman" w:eastAsia="仿宋_GB2312" w:cs="Times New Roman"/>
          <w:sz w:val="32"/>
          <w:szCs w:val="32"/>
        </w:rPr>
        <w:t>进行了明确</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强调</w:t>
      </w:r>
      <w:r>
        <w:rPr>
          <w:rFonts w:hint="default" w:ascii="Times New Roman" w:hAnsi="Times New Roman" w:eastAsia="仿宋_GB2312" w:cs="Times New Roman"/>
          <w:sz w:val="32"/>
          <w:szCs w:val="32"/>
        </w:rPr>
        <w:t>养老服务设施</w:t>
      </w:r>
      <w:r>
        <w:rPr>
          <w:rFonts w:hint="eastAsia" w:ascii="Times New Roman" w:hAnsi="Times New Roman" w:eastAsia="仿宋_GB2312" w:cs="Times New Roman"/>
          <w:sz w:val="32"/>
          <w:szCs w:val="32"/>
          <w:lang w:val="en-US" w:eastAsia="zh-CN"/>
        </w:rPr>
        <w:t>实施</w:t>
      </w:r>
      <w:r>
        <w:rPr>
          <w:rFonts w:hint="default" w:ascii="Times New Roman" w:hAnsi="Times New Roman" w:eastAsia="仿宋_GB2312" w:cs="Times New Roman"/>
          <w:sz w:val="32"/>
          <w:szCs w:val="32"/>
        </w:rPr>
        <w:t>公建民营，应按照国有资产管理有关规定，通过招投标或国家相关规定允许的方式执行。</w:t>
      </w:r>
    </w:p>
    <w:p w14:paraId="514027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三</w:t>
      </w:r>
      <w:r>
        <w:rPr>
          <w:rFonts w:hint="eastAsia" w:ascii="楷体_GB2312" w:hAnsi="楷体_GB2312" w:eastAsia="楷体_GB2312" w:cs="楷体_GB2312"/>
          <w:sz w:val="32"/>
          <w:szCs w:val="32"/>
        </w:rPr>
        <w:t>）加强运营管理。</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章明确公建民营养老服务设施应加强运营管理，具体从</w:t>
      </w:r>
      <w:r>
        <w:rPr>
          <w:rFonts w:hint="eastAsia" w:ascii="Times New Roman" w:hAnsi="Times New Roman" w:eastAsia="仿宋_GB2312" w:cs="Times New Roman"/>
          <w:sz w:val="32"/>
          <w:szCs w:val="32"/>
          <w:lang w:val="en-US" w:eastAsia="zh-CN"/>
        </w:rPr>
        <w:t>备案管理</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普惠原则</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资产管理、人员管理、</w:t>
      </w:r>
      <w:r>
        <w:rPr>
          <w:rFonts w:hint="default" w:ascii="Times New Roman" w:hAnsi="Times New Roman" w:eastAsia="仿宋_GB2312" w:cs="Times New Roman"/>
          <w:sz w:val="32"/>
          <w:szCs w:val="32"/>
        </w:rPr>
        <w:t>财务管理等方面进行规范</w:t>
      </w:r>
      <w:r>
        <w:rPr>
          <w:rFonts w:hint="eastAsia" w:ascii="Times New Roman" w:hAnsi="Times New Roman" w:eastAsia="仿宋_GB2312" w:cs="Times New Roman"/>
          <w:sz w:val="32"/>
          <w:szCs w:val="32"/>
          <w:lang w:eastAsia="zh-CN"/>
        </w:rPr>
        <w:t>。</w:t>
      </w:r>
    </w:p>
    <w:p w14:paraId="717B18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四</w:t>
      </w:r>
      <w:r>
        <w:rPr>
          <w:rFonts w:hint="eastAsia" w:ascii="楷体_GB2312" w:hAnsi="楷体_GB2312" w:eastAsia="楷体_GB2312" w:cs="楷体_GB2312"/>
          <w:sz w:val="32"/>
          <w:szCs w:val="32"/>
        </w:rPr>
        <w:t>）加强监督管理。</w:t>
      </w: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四</w:t>
      </w:r>
      <w:r>
        <w:rPr>
          <w:rFonts w:hint="default" w:ascii="Times New Roman" w:hAnsi="Times New Roman" w:eastAsia="仿宋_GB2312" w:cs="Times New Roman"/>
          <w:sz w:val="32"/>
          <w:szCs w:val="32"/>
        </w:rPr>
        <w:t>章明确加强对公建民营养老服务设施的监管，定期开展</w:t>
      </w:r>
      <w:r>
        <w:rPr>
          <w:rFonts w:hint="eastAsia" w:ascii="Times New Roman" w:hAnsi="Times New Roman" w:eastAsia="仿宋_GB2312" w:cs="Times New Roman"/>
          <w:sz w:val="32"/>
          <w:szCs w:val="32"/>
          <w:lang w:val="en-US" w:eastAsia="zh-CN"/>
        </w:rPr>
        <w:t>年度检查</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强调</w:t>
      </w:r>
      <w:r>
        <w:rPr>
          <w:rFonts w:hint="default" w:ascii="Times New Roman" w:hAnsi="Times New Roman" w:eastAsia="仿宋_GB2312" w:cs="Times New Roman"/>
          <w:sz w:val="32"/>
          <w:szCs w:val="32"/>
        </w:rPr>
        <w:t>运营方及其工作人员</w:t>
      </w:r>
      <w:r>
        <w:rPr>
          <w:rFonts w:hint="eastAsia" w:ascii="Times New Roman" w:hAnsi="Times New Roman" w:eastAsia="仿宋_GB2312" w:cs="Times New Roman"/>
          <w:sz w:val="32"/>
          <w:szCs w:val="32"/>
          <w:lang w:val="en-US" w:eastAsia="zh-CN"/>
        </w:rPr>
        <w:t>的违规行为</w:t>
      </w:r>
      <w:r>
        <w:rPr>
          <w:rFonts w:hint="default" w:ascii="Times New Roman" w:hAnsi="Times New Roman" w:eastAsia="仿宋_GB2312" w:cs="Times New Roman"/>
          <w:sz w:val="32"/>
          <w:szCs w:val="32"/>
        </w:rPr>
        <w:t>。</w:t>
      </w:r>
    </w:p>
    <w:p w14:paraId="34BDB8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rPr>
        <w:t>）附则。</w:t>
      </w:r>
      <w:r>
        <w:rPr>
          <w:rFonts w:hint="default" w:ascii="Times New Roman" w:hAnsi="Times New Roman" w:eastAsia="仿宋_GB2312" w:cs="Times New Roman"/>
          <w:sz w:val="32"/>
          <w:szCs w:val="32"/>
        </w:rPr>
        <w:t>明确</w:t>
      </w:r>
      <w:r>
        <w:rPr>
          <w:rFonts w:hint="eastAsia" w:ascii="Times New Roman" w:hAnsi="Times New Roman" w:eastAsia="仿宋_GB2312" w:cs="Times New Roman"/>
          <w:sz w:val="32"/>
          <w:szCs w:val="32"/>
          <w:lang w:val="en-US" w:eastAsia="zh-CN"/>
        </w:rPr>
        <w:t>重点服务保障对象范围、</w:t>
      </w:r>
      <w:r>
        <w:rPr>
          <w:rFonts w:hint="default" w:ascii="Times New Roman" w:hAnsi="Times New Roman" w:eastAsia="仿宋_GB2312" w:cs="Times New Roman"/>
          <w:sz w:val="32"/>
          <w:szCs w:val="32"/>
        </w:rPr>
        <w:t>本办法施行</w:t>
      </w:r>
      <w:r>
        <w:rPr>
          <w:rFonts w:hint="eastAsia" w:ascii="Times New Roman" w:hAnsi="Times New Roman" w:eastAsia="仿宋_GB2312" w:cs="Times New Roman"/>
          <w:sz w:val="32"/>
          <w:szCs w:val="32"/>
          <w:lang w:val="en-US" w:eastAsia="zh-CN"/>
        </w:rPr>
        <w:t>期限</w:t>
      </w:r>
      <w:r>
        <w:rPr>
          <w:rFonts w:hint="default" w:ascii="Times New Roman" w:hAnsi="Times New Roman" w:eastAsia="仿宋_GB2312" w:cs="Times New Roman"/>
          <w:sz w:val="32"/>
          <w:szCs w:val="32"/>
        </w:rPr>
        <w:t>以及已经签订合同的处置方式。</w:t>
      </w:r>
    </w:p>
    <w:p w14:paraId="52187C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黑体" w:hAnsi="黑体" w:eastAsia="黑体" w:cs="黑体"/>
          <w:sz w:val="32"/>
          <w:szCs w:val="32"/>
          <w:lang w:val="en-US" w:eastAsia="zh-CN"/>
        </w:rPr>
        <w:t>五、其他需要说明的情况</w:t>
      </w:r>
    </w:p>
    <w:p w14:paraId="703A779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default"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val="en-US" w:eastAsia="zh-CN"/>
        </w:rPr>
        <w:t>有关文件内容的特殊情况</w:t>
      </w:r>
    </w:p>
    <w:p w14:paraId="7B64F8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本办法自</w:t>
      </w:r>
      <w:r>
        <w:rPr>
          <w:rFonts w:hint="eastAsia" w:ascii="Times New Roman" w:hAnsi="Times New Roman" w:eastAsia="仿宋_GB2312" w:cs="Times New Roman"/>
          <w:sz w:val="32"/>
          <w:szCs w:val="32"/>
          <w:lang w:val="en-US" w:eastAsia="zh-CN"/>
        </w:rPr>
        <w:t>印发之日</w:t>
      </w:r>
      <w:r>
        <w:rPr>
          <w:rFonts w:hint="default" w:ascii="Times New Roman" w:hAnsi="Times New Roman" w:eastAsia="仿宋_GB2312" w:cs="Times New Roman"/>
          <w:sz w:val="32"/>
          <w:szCs w:val="32"/>
          <w:lang w:val="en-US" w:eastAsia="zh-CN"/>
        </w:rPr>
        <w:t>起施行，有效期</w:t>
      </w:r>
      <w:r>
        <w:rPr>
          <w:rFonts w:hint="eastAsia"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val="en-US" w:eastAsia="zh-CN"/>
        </w:rPr>
        <w:t>年。在本办法有效期内，如</w:t>
      </w:r>
      <w:r>
        <w:rPr>
          <w:rFonts w:hint="eastAsia" w:ascii="Times New Roman" w:hAnsi="Times New Roman" w:eastAsia="仿宋_GB2312" w:cs="Times New Roman"/>
          <w:sz w:val="32"/>
          <w:szCs w:val="32"/>
          <w:lang w:val="en-US" w:eastAsia="zh-CN"/>
        </w:rPr>
        <w:t>相关部委</w:t>
      </w:r>
      <w:r>
        <w:rPr>
          <w:rFonts w:hint="default" w:ascii="Times New Roman" w:hAnsi="Times New Roman" w:eastAsia="仿宋_GB2312" w:cs="Times New Roman"/>
          <w:sz w:val="32"/>
          <w:szCs w:val="32"/>
          <w:lang w:val="en-US" w:eastAsia="zh-CN"/>
        </w:rPr>
        <w:t>、</w:t>
      </w:r>
      <w:r>
        <w:rPr>
          <w:rFonts w:hint="eastAsia" w:ascii="Times New Roman" w:hAnsi="Times New Roman" w:eastAsia="仿宋_GB2312" w:cs="Times New Roman"/>
          <w:sz w:val="32"/>
          <w:szCs w:val="32"/>
          <w:lang w:val="en-US" w:eastAsia="zh-CN"/>
        </w:rPr>
        <w:t>兵团相关部门</w:t>
      </w:r>
      <w:r>
        <w:rPr>
          <w:rFonts w:hint="default" w:ascii="Times New Roman" w:hAnsi="Times New Roman" w:eastAsia="仿宋_GB2312" w:cs="Times New Roman"/>
          <w:sz w:val="32"/>
          <w:szCs w:val="32"/>
          <w:lang w:val="en-US" w:eastAsia="zh-CN"/>
        </w:rPr>
        <w:t>出台最新政策，按照最新政策执行。</w:t>
      </w:r>
    </w:p>
    <w:p w14:paraId="62276B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（二）发文形式、上会形式的情况</w:t>
      </w:r>
    </w:p>
    <w:p w14:paraId="1F1E7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本办法经司法审核后，经师民政局党组会议讨论通过，以师民政局名义发布。</w:t>
      </w:r>
    </w:p>
    <w:p w14:paraId="23F0811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（三）与既有政策文件的衔接协调情况</w:t>
      </w:r>
    </w:p>
    <w:p w14:paraId="34E0FF0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师民政局未出台相关文件，严格按照民政部及兵团民政局相关文件要求管理公建民营养老机构。</w:t>
      </w:r>
    </w:p>
    <w:p w14:paraId="1F67B54D">
      <w:pPr>
        <w:rPr>
          <w:rFonts w:hint="default"/>
          <w:lang w:val="en-US" w:eastAsia="zh-CN"/>
        </w:rPr>
      </w:pPr>
    </w:p>
    <w:p w14:paraId="445FA97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napToGrid w:val="0"/>
          <w:sz w:val="32"/>
          <w:szCs w:val="32"/>
          <w:lang w:val="en-US" w:eastAsia="zh-CN"/>
        </w:rPr>
      </w:pPr>
    </w:p>
    <w:p w14:paraId="07E0198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eastAsia="仿宋_GB2312" w:cs="Times New Roman"/>
          <w:snapToGrid w:val="0"/>
          <w:sz w:val="32"/>
          <w:szCs w:val="32"/>
          <w:lang w:val="en-US" w:eastAsia="zh-CN"/>
        </w:rPr>
      </w:pPr>
      <w:r>
        <w:rPr>
          <w:rFonts w:hint="default" w:ascii="Times New Roman" w:hAnsi="Times New Roman" w:eastAsia="仿宋_GB2312" w:cs="Times New Roman"/>
          <w:snapToGrid w:val="0"/>
          <w:sz w:val="32"/>
          <w:szCs w:val="32"/>
          <w:lang w:val="en-US" w:eastAsia="zh-CN"/>
        </w:rPr>
        <w:t>第十二师民政局</w:t>
      </w:r>
    </w:p>
    <w:p w14:paraId="195137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120" w:firstLineChars="1600"/>
        <w:textAlignment w:val="auto"/>
        <w:rPr>
          <w:rFonts w:hint="default" w:ascii="Times New Roman" w:hAnsi="Times New Roman" w:cs="Times New Roman"/>
          <w:sz w:val="32"/>
          <w:szCs w:val="32"/>
        </w:rPr>
      </w:pPr>
      <w:r>
        <w:rPr>
          <w:rFonts w:hint="default" w:ascii="Times New Roman" w:hAnsi="Times New Roman" w:eastAsia="仿宋_GB2312" w:cs="Times New Roman"/>
          <w:snapToGrid w:val="0"/>
          <w:sz w:val="32"/>
          <w:szCs w:val="32"/>
          <w:lang w:val="en-US" w:eastAsia="zh-CN"/>
        </w:rPr>
        <w:t>202</w:t>
      </w:r>
      <w:r>
        <w:rPr>
          <w:rFonts w:hint="eastAsia" w:ascii="Times New Roman" w:hAnsi="Times New Roman" w:eastAsia="仿宋_GB2312" w:cs="Times New Roman"/>
          <w:snapToGrid w:val="0"/>
          <w:sz w:val="32"/>
          <w:szCs w:val="32"/>
          <w:lang w:val="en-US" w:eastAsia="zh-CN"/>
        </w:rPr>
        <w:t>6</w:t>
      </w:r>
      <w:r>
        <w:rPr>
          <w:rFonts w:hint="default" w:ascii="Times New Roman" w:hAnsi="Times New Roman" w:eastAsia="仿宋_GB2312" w:cs="Times New Roman"/>
          <w:snapToGrid w:val="0"/>
          <w:sz w:val="32"/>
          <w:szCs w:val="32"/>
          <w:lang w:val="en-US" w:eastAsia="zh-CN"/>
        </w:rPr>
        <w:t>年</w:t>
      </w:r>
      <w:r>
        <w:rPr>
          <w:rFonts w:hint="eastAsia" w:ascii="Times New Roman" w:hAnsi="Times New Roman" w:eastAsia="仿宋_GB2312" w:cs="Times New Roman"/>
          <w:snapToGrid w:val="0"/>
          <w:sz w:val="32"/>
          <w:szCs w:val="32"/>
          <w:lang w:val="en-US" w:eastAsia="zh-CN"/>
        </w:rPr>
        <w:t>7</w:t>
      </w:r>
      <w:r>
        <w:rPr>
          <w:rFonts w:hint="default" w:ascii="Times New Roman" w:hAnsi="Times New Roman" w:eastAsia="仿宋_GB2312" w:cs="Times New Roman"/>
          <w:snapToGrid w:val="0"/>
          <w:sz w:val="32"/>
          <w:szCs w:val="32"/>
          <w:lang w:val="en-US" w:eastAsia="zh-CN"/>
        </w:rPr>
        <w:t>月</w:t>
      </w:r>
      <w:r>
        <w:rPr>
          <w:rFonts w:hint="eastAsia" w:ascii="Times New Roman" w:hAnsi="Times New Roman" w:eastAsia="仿宋_GB2312" w:cs="Times New Roman"/>
          <w:snapToGrid w:val="0"/>
          <w:sz w:val="32"/>
          <w:szCs w:val="32"/>
          <w:lang w:val="en-US" w:eastAsia="zh-CN"/>
        </w:rPr>
        <w:t>9</w:t>
      </w:r>
      <w:r>
        <w:rPr>
          <w:rFonts w:hint="default" w:ascii="Times New Roman" w:hAnsi="Times New Roman" w:eastAsia="仿宋_GB2312" w:cs="Times New Roman"/>
          <w:snapToGrid w:val="0"/>
          <w:sz w:val="32"/>
          <w:szCs w:val="32"/>
          <w:lang w:val="en-US" w:eastAsia="zh-CN"/>
        </w:rPr>
        <w:t>日</w:t>
      </w:r>
      <w:bookmarkStart w:id="0" w:name="_GoBack"/>
      <w:bookmarkEnd w:id="0"/>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VkZmQ2NzM3ZDY3NTdmNTc3Mjk3OTYwNDhmYThlZjQifQ=="/>
  </w:docVars>
  <w:rsids>
    <w:rsidRoot w:val="00172A27"/>
    <w:rsid w:val="00695648"/>
    <w:rsid w:val="09174211"/>
    <w:rsid w:val="094414EA"/>
    <w:rsid w:val="0CA92A55"/>
    <w:rsid w:val="11A15BA7"/>
    <w:rsid w:val="168A5CF4"/>
    <w:rsid w:val="1C5829B2"/>
    <w:rsid w:val="1C5E0EE8"/>
    <w:rsid w:val="238A6A68"/>
    <w:rsid w:val="264221C0"/>
    <w:rsid w:val="2D2F5D43"/>
    <w:rsid w:val="2E6B40F9"/>
    <w:rsid w:val="2EA70DF7"/>
    <w:rsid w:val="300416A2"/>
    <w:rsid w:val="30361E44"/>
    <w:rsid w:val="304C6F18"/>
    <w:rsid w:val="355C3412"/>
    <w:rsid w:val="36AD0168"/>
    <w:rsid w:val="373C22E0"/>
    <w:rsid w:val="3DBD4039"/>
    <w:rsid w:val="3F1E476B"/>
    <w:rsid w:val="3F2325AF"/>
    <w:rsid w:val="40E7287A"/>
    <w:rsid w:val="455A78AA"/>
    <w:rsid w:val="494307D5"/>
    <w:rsid w:val="49E067CF"/>
    <w:rsid w:val="4A2F31AD"/>
    <w:rsid w:val="4AC7221E"/>
    <w:rsid w:val="52824C1A"/>
    <w:rsid w:val="546D0903"/>
    <w:rsid w:val="55B208CB"/>
    <w:rsid w:val="5ACA68EE"/>
    <w:rsid w:val="5C6E647E"/>
    <w:rsid w:val="661D4E9C"/>
    <w:rsid w:val="670234CE"/>
    <w:rsid w:val="6AC55C49"/>
    <w:rsid w:val="6DDC2EDE"/>
    <w:rsid w:val="793D778A"/>
    <w:rsid w:val="7C8E3B32"/>
    <w:rsid w:val="7DC23B8E"/>
    <w:rsid w:val="7F8851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kern w:val="44"/>
      <w:sz w:val="48"/>
      <w:szCs w:val="48"/>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adjustRightInd w:val="0"/>
      <w:snapToGrid w:val="0"/>
      <w:spacing w:line="580" w:lineRule="exact"/>
      <w:textAlignment w:val="baseline"/>
    </w:pPr>
    <w:rPr>
      <w:rFonts w:ascii="仿宋_GB2312" w:eastAsia="仿宋_GB2312"/>
      <w:spacing w:val="-20"/>
      <w:kern w:val="0"/>
      <w:sz w:val="32"/>
      <w:szCs w:val="20"/>
    </w:rPr>
  </w:style>
  <w:style w:type="paragraph" w:styleId="3">
    <w:name w:val="toc 5"/>
    <w:basedOn w:val="1"/>
    <w:next w:val="1"/>
    <w:qFormat/>
    <w:uiPriority w:val="0"/>
    <w:pPr>
      <w:ind w:left="1680"/>
    </w:p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Hyperlink"/>
    <w:basedOn w:val="7"/>
    <w:qFormat/>
    <w:uiPriority w:val="0"/>
    <w:rPr>
      <w:color w:val="0000FF"/>
      <w:u w:val="single"/>
    </w:rPr>
  </w:style>
  <w:style w:type="paragraph" w:customStyle="1" w:styleId="9">
    <w:name w:val="Normal Indent1"/>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1568</Words>
  <Characters>1616</Characters>
  <Lines>0</Lines>
  <Paragraphs>0</Paragraphs>
  <TotalTime>880</TotalTime>
  <ScaleCrop>false</ScaleCrop>
  <LinksUpToDate>false</LinksUpToDate>
  <CharactersWithSpaces>1616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2023-01-16T07:49:00Z</dcterms:created>
  <dc:creator>十二师民政局</dc:creator>
  <cp:lastModifiedBy>十二师民政综合事务服务中心</cp:lastModifiedBy>
  <cp:lastPrinted>2026-06-11T05:17:00Z</cp:lastPrinted>
  <dcterms:modified xsi:type="dcterms:W3CDTF">2026-07-09T02:50:36Z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F03F3279ED65448DABBF2C0277AAC6B5_13</vt:lpwstr>
  </property>
  <property fmtid="{D5CDD505-2E9C-101B-9397-08002B2CF9AE}" pid="4" name="KSOTemplateDocerSaveRecord">
    <vt:lpwstr>eyJoZGlkIjoiODViY2JkMjU3NGYzZTEwMzZmMGFkZWViYmNkYWU3NDIiLCJ1c2VySWQiOiIzNzE2ODE1MzYifQ==</vt:lpwstr>
  </property>
</Properties>
</file>