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87F7A">
      <w:pPr>
        <w:pStyle w:val="27"/>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5E54C1B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b w:val="0"/>
          <w:bCs w:val="0"/>
          <w:color w:val="auto"/>
          <w:spacing w:val="-20"/>
          <w:sz w:val="44"/>
          <w:szCs w:val="44"/>
          <w:lang w:val="en-US" w:eastAsia="zh-CN"/>
        </w:rPr>
      </w:pPr>
      <w:r>
        <w:rPr>
          <w:rFonts w:hint="eastAsia" w:ascii="Times New Roman" w:hAnsi="Times New Roman" w:eastAsia="方正小标宋简体" w:cs="Times New Roman"/>
          <w:sz w:val="44"/>
          <w:szCs w:val="44"/>
          <w:lang w:val="en-US" w:eastAsia="zh-CN"/>
        </w:rPr>
        <w:t>关于新疆欣业恒达塑业有限公司塑料食品包装制品智能化生产车间建设项目</w:t>
      </w:r>
      <w:r>
        <w:rPr>
          <w:rFonts w:hint="default" w:ascii="Times New Roman" w:hAnsi="Times New Roman" w:eastAsia="方正小标宋简体" w:cs="Times New Roman"/>
          <w:b w:val="0"/>
          <w:bCs w:val="0"/>
          <w:color w:val="auto"/>
          <w:spacing w:val="-20"/>
          <w:sz w:val="44"/>
          <w:szCs w:val="44"/>
          <w:lang w:val="en-US" w:eastAsia="zh-CN"/>
        </w:rPr>
        <w:t>环境影响</w:t>
      </w:r>
    </w:p>
    <w:p w14:paraId="0075261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default" w:ascii="Times New Roman" w:hAnsi="Times New Roman" w:eastAsia="方正小标宋简体" w:cs="Times New Roman"/>
          <w:b w:val="0"/>
          <w:bCs w:val="0"/>
          <w:color w:val="auto"/>
          <w:spacing w:val="-20"/>
          <w:sz w:val="44"/>
          <w:szCs w:val="44"/>
          <w:lang w:val="en-US" w:eastAsia="zh-CN"/>
        </w:rPr>
        <w:t>报告表</w:t>
      </w:r>
      <w:r>
        <w:rPr>
          <w:rFonts w:hint="eastAsia" w:ascii="方正小标宋简体" w:hAnsi="方正小标宋简体" w:eastAsia="方正小标宋简体" w:cs="方正小标宋简体"/>
          <w:sz w:val="44"/>
          <w:szCs w:val="44"/>
          <w:lang w:val="en-US" w:eastAsia="zh-CN"/>
        </w:rPr>
        <w:t>的批复</w:t>
      </w:r>
    </w:p>
    <w:p w14:paraId="67C52F69">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default" w:ascii="Times New Roman" w:hAnsi="Times New Roman" w:eastAsia="仿宋_GB2312" w:cs="Times New Roman"/>
          <w:sz w:val="32"/>
          <w:szCs w:val="32"/>
        </w:rPr>
      </w:pPr>
    </w:p>
    <w:p w14:paraId="61DE081C">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新疆欣业恒达塑业有限公司：</w:t>
      </w:r>
    </w:p>
    <w:p w14:paraId="5663E4A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你单位报送的由乌鲁木齐绿润科恒环保科技有限公司编制的《新疆欣业恒达塑业有限公司塑料食品包装制品智能化生产车间建设项目环境影响报告表》（以下简称《报告表》）收悉。根据《中华人民共和国行政许可法》第三十八条第一款、《中华人民共和国环境影响评价法》第二十二条第三款，经审查，现批复如下</w:t>
      </w:r>
      <w:r>
        <w:rPr>
          <w:rFonts w:hint="eastAsia" w:ascii="Times New Roman" w:hAnsi="Times New Roman" w:eastAsia="仿宋_GB2312" w:cs="Times New Roman"/>
          <w:color w:val="auto"/>
          <w:sz w:val="32"/>
          <w:szCs w:val="32"/>
          <w:lang w:val="en-US" w:eastAsia="zh-CN"/>
        </w:rPr>
        <w:t>：</w:t>
      </w:r>
    </w:p>
    <w:p w14:paraId="1207C0B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本项目位于新疆乌鲁木齐市（第十二师）经济技术开发区（头屯河区）兵团乌鲁木齐经济技术开发区米兰街1号新疆欣业恒达塑业有限公司院内。厂址中心地理坐标为东经87°22′2.382″，北纬43°43′3.417″。项目区东侧为新疆美顺达实验室设备有限公司，南侧为米兰街，西侧为八钢路，北侧为新疆会好益康医疗科技有限公司、乌鲁木齐市文达文具有限公司。</w:t>
      </w:r>
    </w:p>
    <w:p w14:paraId="47AF0E8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建设内容：本项目建设性质为扩建。项目在现有厂区内新建钢结构生产厂房1座、库房1座，不新增占地面积。本次扩建</w:t>
      </w:r>
      <w:r>
        <w:rPr>
          <w:rFonts w:hint="eastAsia" w:eastAsia="仿宋_GB2312" w:cs="Times New Roman"/>
          <w:color w:val="auto"/>
          <w:sz w:val="32"/>
          <w:szCs w:val="32"/>
          <w:highlight w:val="none"/>
          <w:lang w:val="en-US" w:eastAsia="zh-CN"/>
        </w:rPr>
        <w:t>为年产</w:t>
      </w:r>
      <w:r>
        <w:rPr>
          <w:rFonts w:hint="default" w:ascii="Times New Roman" w:hAnsi="Times New Roman" w:eastAsia="仿宋_GB2312" w:cs="Times New Roman"/>
          <w:color w:val="auto"/>
          <w:sz w:val="32"/>
          <w:szCs w:val="32"/>
          <w:highlight w:val="none"/>
          <w:lang w:val="en-US" w:eastAsia="zh-CN"/>
        </w:rPr>
        <w:t>塑料制品3000吨，项目建成后全厂年产塑料瓶坯、瓶盖、提手及相关塑料制品规模为6600吨。</w:t>
      </w:r>
    </w:p>
    <w:p w14:paraId="64FABDB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本项目总投资</w:t>
      </w:r>
      <w:r>
        <w:rPr>
          <w:rFonts w:hint="eastAsia" w:eastAsia="仿宋_GB2312" w:cs="Times New Roman"/>
          <w:color w:val="auto"/>
          <w:sz w:val="32"/>
          <w:szCs w:val="32"/>
          <w:lang w:val="en-US" w:eastAsia="zh-CN"/>
        </w:rPr>
        <w:t>3600</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其中</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环保投资</w:t>
      </w:r>
      <w:r>
        <w:rPr>
          <w:rFonts w:hint="eastAsia" w:eastAsia="仿宋_GB2312" w:cs="Times New Roman"/>
          <w:bCs/>
          <w:color w:val="auto"/>
          <w:sz w:val="32"/>
          <w:szCs w:val="32"/>
          <w:lang w:val="en-US" w:eastAsia="zh-CN"/>
        </w:rPr>
        <w:t>102.50</w:t>
      </w:r>
      <w:r>
        <w:rPr>
          <w:rFonts w:hint="default" w:ascii="Times New Roman" w:hAnsi="Times New Roman" w:eastAsia="仿宋_GB2312" w:cs="Times New Roman"/>
          <w:color w:val="auto"/>
          <w:sz w:val="32"/>
          <w:szCs w:val="32"/>
          <w:highlight w:val="none"/>
          <w:lang w:val="en-US" w:eastAsia="zh-CN"/>
        </w:rPr>
        <w:t>万元，占总投资</w:t>
      </w:r>
      <w:r>
        <w:rPr>
          <w:rFonts w:hint="eastAsia" w:eastAsia="仿宋_GB2312" w:cs="Times New Roman"/>
          <w:color w:val="auto"/>
          <w:sz w:val="32"/>
          <w:szCs w:val="32"/>
          <w:highlight w:val="none"/>
          <w:lang w:val="en-US" w:eastAsia="zh-CN"/>
        </w:rPr>
        <w:t>2.85</w:t>
      </w:r>
      <w:r>
        <w:rPr>
          <w:rFonts w:hint="default" w:ascii="Times New Roman" w:hAnsi="Times New Roman" w:eastAsia="仿宋_GB2312" w:cs="Times New Roman"/>
          <w:color w:val="auto"/>
          <w:sz w:val="32"/>
          <w:szCs w:val="32"/>
          <w:highlight w:val="none"/>
          <w:lang w:val="en-US" w:eastAsia="zh-CN"/>
        </w:rPr>
        <w:t>%</w:t>
      </w:r>
      <w:r>
        <w:rPr>
          <w:rFonts w:hint="eastAsia" w:eastAsia="仿宋_GB2312" w:cs="Times New Roman"/>
          <w:color w:val="auto"/>
          <w:sz w:val="32"/>
          <w:szCs w:val="32"/>
          <w:highlight w:val="none"/>
          <w:lang w:val="en-US" w:eastAsia="zh-CN"/>
        </w:rPr>
        <w:t>）。</w:t>
      </w:r>
    </w:p>
    <w:p w14:paraId="0EBDF28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val="en-US" w:eastAsia="zh-CN"/>
        </w:rPr>
        <w:t>评价结论</w:t>
      </w:r>
    </w:p>
    <w:p w14:paraId="03BF5E8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Style w:val="29"/>
          <w:rFonts w:hint="default" w:ascii="Times New Roman" w:hAnsi="Times New Roman" w:eastAsia="仿宋_GB2312" w:cs="Times New Roman"/>
          <w:b w:val="0"/>
          <w:i w:val="0"/>
          <w:caps w:val="0"/>
          <w:color w:val="000000"/>
          <w:spacing w:val="0"/>
          <w:w w:val="100"/>
          <w:kern w:val="2"/>
          <w:sz w:val="32"/>
          <w:szCs w:val="32"/>
          <w:lang w:val="en-US" w:eastAsia="zh-CN" w:bidi="ar-SA"/>
        </w:rPr>
      </w:pPr>
      <w:r>
        <w:rPr>
          <w:rStyle w:val="29"/>
          <w:rFonts w:hint="default" w:ascii="Times New Roman" w:hAnsi="Times New Roman" w:eastAsia="仿宋_GB2312" w:cs="Times New Roman"/>
          <w:b w:val="0"/>
          <w:i w:val="0"/>
          <w:caps w:val="0"/>
          <w:color w:val="000000"/>
          <w:spacing w:val="0"/>
          <w:w w:val="100"/>
          <w:kern w:val="2"/>
          <w:sz w:val="32"/>
          <w:szCs w:val="32"/>
          <w:lang w:val="en-US" w:eastAsia="zh-CN" w:bidi="ar-SA"/>
        </w:rPr>
        <w:t>在全面落实《报告表》中提出的各项防治生态破坏和环境污染措施的前提下，项目建设对环境的不利影响能够得到缓解和控制。我局原则同意《报告表》中所列建设项目的性质、规模、地点和拟采取的环境保护措施。</w:t>
      </w:r>
    </w:p>
    <w:p w14:paraId="0AB3B389">
      <w:pPr>
        <w:pStyle w:val="31"/>
        <w:keepNext w:val="0"/>
        <w:keepLines w:val="0"/>
        <w:pageBreakBefore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20" w:lineRule="exact"/>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lang w:val="en-US" w:eastAsia="zh-CN"/>
        </w:rPr>
        <w:t>在项目设计、建设、运营和环境管理中要认真落实《报告</w:t>
      </w:r>
      <w:r>
        <w:rPr>
          <w:rFonts w:hint="default" w:eastAsia="仿宋_GB2312" w:cs="Times New Roman"/>
          <w:color w:val="auto"/>
          <w:sz w:val="32"/>
          <w:szCs w:val="32"/>
          <w:highlight w:val="none"/>
          <w:lang w:val="en-US" w:eastAsia="zh-CN"/>
        </w:rPr>
        <w:t>表</w:t>
      </w:r>
      <w:r>
        <w:rPr>
          <w:rFonts w:hint="default" w:ascii="Times New Roman" w:hAnsi="Times New Roman" w:eastAsia="仿宋_GB2312" w:cs="Times New Roman"/>
          <w:color w:val="auto"/>
          <w:sz w:val="32"/>
          <w:szCs w:val="32"/>
          <w:highlight w:val="none"/>
          <w:lang w:val="en-US" w:eastAsia="zh-CN"/>
        </w:rPr>
        <w:t>》提出的各项环保要求，严格执行环保</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三同时</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制度，确保污染物稳定达标排放，并达到以下要求：</w:t>
      </w:r>
    </w:p>
    <w:p w14:paraId="4B0BB158">
      <w:pPr>
        <w:pStyle w:val="14"/>
        <w:keepNext w:val="0"/>
        <w:keepLines w:val="0"/>
        <w:pageBreakBefore w:val="0"/>
        <w:numPr>
          <w:ilvl w:val="0"/>
          <w:numId w:val="0"/>
        </w:numPr>
        <w:kinsoku/>
        <w:wordWrap/>
        <w:overflowPunct/>
        <w:topLinePunct w:val="0"/>
        <w:autoSpaceDE/>
        <w:autoSpaceDN/>
        <w:bidi w:val="0"/>
        <w:adjustRightInd/>
        <w:snapToGrid/>
        <w:spacing w:after="0" w:afterLines="0" w:line="52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w:t>
      </w:r>
      <w:r>
        <w:rPr>
          <w:rFonts w:hint="default" w:eastAsia="仿宋_GB2312" w:cs="Times New Roman"/>
          <w:color w:val="auto"/>
          <w:sz w:val="32"/>
          <w:szCs w:val="32"/>
          <w:highlight w:val="none"/>
          <w:lang w:val="en-US" w:eastAsia="zh-CN"/>
        </w:rPr>
        <w:t>落</w:t>
      </w:r>
      <w:r>
        <w:rPr>
          <w:rFonts w:hint="default" w:ascii="Times New Roman" w:hAnsi="Times New Roman" w:eastAsia="仿宋_GB2312" w:cs="Times New Roman"/>
          <w:color w:val="auto"/>
          <w:sz w:val="32"/>
          <w:szCs w:val="32"/>
          <w:highlight w:val="none"/>
          <w:lang w:val="en-US" w:eastAsia="zh-CN"/>
        </w:rPr>
        <w:t>实废气污染防治措施。本项目有机废气经</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负压收集+活性炭吸附脱附催化燃烧装置</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处理后，经1根15米高排气筒（DA002）排放，非甲烷总烃、乙醛排放执行《合成树脂工业污染物排放标准》（GB 31572-2015，含2024年修改单）表5特别排放限值，恶臭污染物执行《恶臭污染物排放标准》(GB14554-93)表2最高允许排放浓度。</w:t>
      </w:r>
    </w:p>
    <w:p w14:paraId="497864A7">
      <w:pPr>
        <w:keepNext w:val="0"/>
        <w:keepLines w:val="0"/>
        <w:pageBreakBefore w:val="0"/>
        <w:kinsoku/>
        <w:wordWrap/>
        <w:overflowPunct/>
        <w:topLinePunct w:val="0"/>
        <w:bidi w:val="0"/>
        <w:spacing w:line="52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本项目厂界无组织排放颗粒物、非甲烷总烃满足《合成树脂工业污染物排放标准》（GB 31572-2015，含2024年修改单）表9中厂界监控点浓度限值。厂区内非甲烷总烃排放浓度满足《挥发性有机物无组织排放控制标准》（GB37822-2019）表A.1特别排放限值</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厂界臭气浓度执行《恶臭污染物排放标准》（GB14554-93）中表1二级标准。</w:t>
      </w:r>
    </w:p>
    <w:p w14:paraId="2808FCDE">
      <w:pPr>
        <w:pStyle w:val="14"/>
        <w:keepNext w:val="0"/>
        <w:keepLines w:val="0"/>
        <w:pageBreakBefore w:val="0"/>
        <w:numPr>
          <w:ilvl w:val="0"/>
          <w:numId w:val="0"/>
        </w:numPr>
        <w:kinsoku/>
        <w:wordWrap/>
        <w:overflowPunct/>
        <w:topLinePunct w:val="0"/>
        <w:autoSpaceDE/>
        <w:autoSpaceDN/>
        <w:bidi w:val="0"/>
        <w:adjustRightInd/>
        <w:snapToGrid/>
        <w:spacing w:after="0" w:afterLines="0" w:line="52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val="en-US" w:eastAsia="zh-CN"/>
        </w:rPr>
        <w:t>落实废水污染防治措施。本项目运营期无生产废水</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不新增劳动人员，不新增生活污水。生活污水排入园区下水管网后进入园区污水处理厂处理</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满足《污水综合排放标准》（GB8978-1996）表4中三级排放标准。</w:t>
      </w:r>
    </w:p>
    <w:p w14:paraId="463A67B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lang w:val="en-US" w:eastAsia="zh-CN"/>
        </w:rPr>
        <w:t>（三）</w:t>
      </w:r>
      <w:r>
        <w:rPr>
          <w:rFonts w:hint="default" w:ascii="Times New Roman" w:hAnsi="Times New Roman" w:eastAsia="仿宋_GB2312" w:cs="Times New Roman"/>
          <w:color w:val="auto"/>
          <w:spacing w:val="0"/>
          <w:sz w:val="32"/>
          <w:szCs w:val="32"/>
          <w:highlight w:val="none"/>
          <w:u w:val="none" w:color="auto"/>
          <w:lang w:val="en-US" w:eastAsia="zh-CN"/>
        </w:rPr>
        <w:t>落实噪声污染防治措施</w:t>
      </w:r>
      <w:r>
        <w:rPr>
          <w:rFonts w:hint="eastAsia" w:eastAsia="仿宋_GB2312"/>
          <w:spacing w:val="-10"/>
          <w:sz w:val="32"/>
          <w:szCs w:val="32"/>
          <w:u w:val="none" w:color="000000"/>
        </w:rPr>
        <w:t>。</w:t>
      </w:r>
      <w:r>
        <w:rPr>
          <w:rFonts w:hint="default" w:ascii="Times New Roman" w:hAnsi="Times New Roman" w:eastAsia="仿宋_GB2312" w:cs="Times New Roman"/>
          <w:color w:val="auto"/>
          <w:spacing w:val="0"/>
          <w:sz w:val="32"/>
          <w:szCs w:val="32"/>
          <w:highlight w:val="none"/>
          <w:u w:val="none" w:color="auto"/>
          <w:lang w:val="en-US" w:eastAsia="zh-CN"/>
        </w:rPr>
        <w:t>本项目运营期噪声源主要为</w:t>
      </w:r>
      <w:r>
        <w:rPr>
          <w:rFonts w:hint="eastAsia" w:eastAsia="仿宋_GB2312"/>
          <w:spacing w:val="-10"/>
          <w:sz w:val="32"/>
          <w:szCs w:val="32"/>
          <w:u w:val="none" w:color="000000"/>
          <w:lang w:val="en-US" w:eastAsia="zh-CN"/>
        </w:rPr>
        <w:t>注塑成型机、压塑机、破碎机</w:t>
      </w:r>
      <w:r>
        <w:rPr>
          <w:rFonts w:hint="default" w:ascii="Times New Roman" w:hAnsi="Times New Roman" w:eastAsia="仿宋_GB2312" w:cs="Times New Roman"/>
          <w:color w:val="auto"/>
          <w:spacing w:val="0"/>
          <w:sz w:val="32"/>
          <w:szCs w:val="32"/>
          <w:highlight w:val="none"/>
          <w:u w:val="none" w:color="auto"/>
          <w:lang w:val="en-US" w:eastAsia="zh-CN"/>
        </w:rPr>
        <w:t>等设备产生的机械噪声等。采取减震、隔声等措施。满足《工业企业厂界环境噪声排放标准》（GB12348-2008）中的</w:t>
      </w:r>
      <w:r>
        <w:rPr>
          <w:rFonts w:hint="eastAsia" w:eastAsia="仿宋_GB2312" w:cs="Times New Roman"/>
          <w:color w:val="auto"/>
          <w:spacing w:val="0"/>
          <w:sz w:val="32"/>
          <w:szCs w:val="32"/>
          <w:highlight w:val="none"/>
          <w:u w:val="none" w:color="auto"/>
          <w:lang w:val="en-US" w:eastAsia="zh-CN"/>
        </w:rPr>
        <w:t>3</w:t>
      </w:r>
      <w:r>
        <w:rPr>
          <w:rFonts w:hint="default" w:ascii="Times New Roman" w:hAnsi="Times New Roman" w:eastAsia="仿宋_GB2312" w:cs="Times New Roman"/>
          <w:color w:val="auto"/>
          <w:spacing w:val="0"/>
          <w:sz w:val="32"/>
          <w:szCs w:val="32"/>
          <w:highlight w:val="none"/>
          <w:u w:val="none" w:color="auto"/>
          <w:lang w:val="en-US" w:eastAsia="zh-CN"/>
        </w:rPr>
        <w:t>类标准要求。</w:t>
      </w:r>
    </w:p>
    <w:p w14:paraId="75BC843F">
      <w:pPr>
        <w:keepNext w:val="0"/>
        <w:keepLines w:val="0"/>
        <w:pageBreakBefore w:val="0"/>
        <w:kinsoku/>
        <w:wordWrap/>
        <w:overflowPunct/>
        <w:topLinePunct w:val="0"/>
        <w:autoSpaceDE/>
        <w:autoSpaceDN/>
        <w:bidi w:val="0"/>
        <w:snapToGrid/>
        <w:spacing w:line="52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四）落实固废污染防治措施。本项目营运期不合格品、废包装袋、除尘灰由企业集中收集至现有一般固废暂存区后外售处理；瓶盖及提手边角料破碎后回收利用；软水制备废反渗透膜由厂家更换回收。生活垃圾委托环卫部门统一清运处置。</w:t>
      </w:r>
    </w:p>
    <w:p w14:paraId="1215B95B">
      <w:pPr>
        <w:keepNext w:val="0"/>
        <w:keepLines w:val="0"/>
        <w:pageBreakBefore w:val="0"/>
        <w:kinsoku/>
        <w:wordWrap/>
        <w:overflowPunct/>
        <w:topLinePunct w:val="0"/>
        <w:autoSpaceDE/>
        <w:autoSpaceDN/>
        <w:bidi w:val="0"/>
        <w:snapToGrid/>
        <w:spacing w:line="52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废润滑油、废润滑油桶，废催化剂、废活性炭分类收集</w:t>
      </w:r>
      <w:r>
        <w:rPr>
          <w:rFonts w:hint="eastAsia"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贮存于扩建危废贮存点内，并定期委托有资质的单位进行处置。危废贮存库要求按照《危险废物贮存污染控制标准》（GB18597-2023）建设</w:t>
      </w:r>
      <w:r>
        <w:rPr>
          <w:rFonts w:hint="eastAsia" w:eastAsia="仿宋_GB2312" w:cs="Times New Roman"/>
          <w:color w:val="auto"/>
          <w:sz w:val="32"/>
          <w:szCs w:val="32"/>
          <w:highlight w:val="none"/>
          <w:u w:val="none"/>
          <w:lang w:val="en-US" w:eastAsia="zh-CN"/>
        </w:rPr>
        <w:t>。</w:t>
      </w:r>
    </w:p>
    <w:p w14:paraId="1FE3E4A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bCs/>
          <w:color w:val="auto"/>
          <w:kern w:val="2"/>
          <w:sz w:val="32"/>
          <w:szCs w:val="32"/>
          <w:u w:color="000000"/>
          <w:lang w:val="en-US" w:eastAsia="zh-CN" w:bidi="ar-SA"/>
        </w:rPr>
      </w:pPr>
      <w:r>
        <w:rPr>
          <w:rFonts w:hint="default" w:ascii="Times New Roman" w:hAnsi="Times New Roman" w:eastAsia="仿宋_GB2312" w:cs="Times New Roman"/>
          <w:bCs/>
          <w:color w:val="auto"/>
          <w:kern w:val="2"/>
          <w:sz w:val="32"/>
          <w:szCs w:val="32"/>
          <w:u w:color="000000"/>
          <w:lang w:val="en-US" w:eastAsia="zh-CN" w:bidi="ar-SA"/>
        </w:rPr>
        <w:t>（</w:t>
      </w:r>
      <w:r>
        <w:rPr>
          <w:rFonts w:hint="eastAsia" w:eastAsia="仿宋_GB2312" w:cs="Times New Roman"/>
          <w:bCs/>
          <w:color w:val="auto"/>
          <w:kern w:val="2"/>
          <w:sz w:val="32"/>
          <w:szCs w:val="32"/>
          <w:u w:color="000000"/>
          <w:lang w:val="en-US" w:eastAsia="zh-CN" w:bidi="ar-SA"/>
        </w:rPr>
        <w:t>五</w:t>
      </w:r>
      <w:r>
        <w:rPr>
          <w:rFonts w:hint="default" w:ascii="Times New Roman" w:hAnsi="Times New Roman" w:eastAsia="仿宋_GB2312" w:cs="Times New Roman"/>
          <w:bCs/>
          <w:color w:val="auto"/>
          <w:kern w:val="2"/>
          <w:sz w:val="32"/>
          <w:szCs w:val="32"/>
          <w:u w:color="000000"/>
          <w:lang w:val="en-US" w:eastAsia="zh-CN" w:bidi="ar-SA"/>
        </w:rPr>
        <w:t>）加强项目环境风险防范。建立严格的环境风险管理制度，认真落实报告</w:t>
      </w:r>
      <w:r>
        <w:rPr>
          <w:rFonts w:hint="eastAsia" w:eastAsia="仿宋_GB2312" w:cs="Times New Roman"/>
          <w:bCs/>
          <w:color w:val="auto"/>
          <w:kern w:val="2"/>
          <w:sz w:val="32"/>
          <w:szCs w:val="32"/>
          <w:u w:color="000000"/>
          <w:lang w:val="en-US" w:eastAsia="zh-CN" w:bidi="ar-SA"/>
        </w:rPr>
        <w:t>表</w:t>
      </w:r>
      <w:r>
        <w:rPr>
          <w:rFonts w:hint="default" w:ascii="Times New Roman" w:hAnsi="Times New Roman" w:eastAsia="仿宋_GB2312" w:cs="Times New Roman"/>
          <w:bCs/>
          <w:color w:val="auto"/>
          <w:kern w:val="2"/>
          <w:sz w:val="32"/>
          <w:szCs w:val="32"/>
          <w:u w:color="000000"/>
          <w:lang w:val="en-US" w:eastAsia="zh-CN" w:bidi="ar-SA"/>
        </w:rPr>
        <w:t>提出的各项风险防范措施；编制《突发环境事件应急预案》报生态环境主管部门备案，确保不发生环境污染事故；定期开展突发环境事件应急演练，及时对环境应急预案进行完善。</w:t>
      </w:r>
    </w:p>
    <w:p w14:paraId="65E801D0">
      <w:pPr>
        <w:pStyle w:val="2"/>
        <w:keepNext w:val="0"/>
        <w:keepLines w:val="0"/>
        <w:pageBreakBefore w:val="0"/>
        <w:kinsoku/>
        <w:wordWrap/>
        <w:overflowPunct/>
        <w:topLinePunct w:val="0"/>
        <w:bidi w:val="0"/>
        <w:spacing w:line="520" w:lineRule="exact"/>
        <w:ind w:firstLine="640" w:firstLineChars="200"/>
        <w:rPr>
          <w:rFonts w:hint="default" w:ascii="Times New Roman" w:hAnsi="Times New Roman" w:eastAsia="仿宋_GB2312" w:cs="Times New Roman"/>
          <w:bCs/>
          <w:color w:val="auto"/>
          <w:spacing w:val="0"/>
          <w:kern w:val="2"/>
          <w:sz w:val="32"/>
          <w:szCs w:val="32"/>
          <w:u w:color="000000"/>
          <w:lang w:val="en-US" w:eastAsia="zh-CN" w:bidi="ar-SA"/>
        </w:rPr>
      </w:pPr>
      <w:r>
        <w:rPr>
          <w:rFonts w:hint="default" w:ascii="Times New Roman" w:hAnsi="Times New Roman" w:eastAsia="仿宋_GB2312" w:cs="Times New Roman"/>
          <w:bCs/>
          <w:color w:val="auto"/>
          <w:spacing w:val="0"/>
          <w:kern w:val="2"/>
          <w:sz w:val="32"/>
          <w:szCs w:val="32"/>
          <w:u w:color="000000"/>
          <w:lang w:val="en-US" w:eastAsia="zh-CN" w:bidi="ar-SA"/>
        </w:rPr>
        <w:t>本项目总量控制指标为VOCs</w:t>
      </w:r>
      <w:r>
        <w:rPr>
          <w:rFonts w:hint="eastAsia" w:ascii="Times New Roman" w:hAnsi="Times New Roman" w:cs="Times New Roman"/>
          <w:bCs/>
          <w:color w:val="auto"/>
          <w:spacing w:val="0"/>
          <w:kern w:val="2"/>
          <w:sz w:val="32"/>
          <w:szCs w:val="32"/>
          <w:u w:color="000000"/>
          <w:lang w:val="en-US" w:eastAsia="zh-CN" w:bidi="ar-SA"/>
        </w:rPr>
        <w:t>：</w:t>
      </w:r>
      <w:r>
        <w:rPr>
          <w:rFonts w:hint="default" w:ascii="Times New Roman" w:hAnsi="Times New Roman" w:eastAsia="仿宋_GB2312" w:cs="Times New Roman"/>
          <w:bCs/>
          <w:color w:val="auto"/>
          <w:spacing w:val="0"/>
          <w:kern w:val="2"/>
          <w:sz w:val="32"/>
          <w:szCs w:val="32"/>
          <w:u w:color="000000"/>
          <w:lang w:val="en-US" w:eastAsia="zh-CN" w:bidi="ar-SA"/>
        </w:rPr>
        <w:t>2.55吨/年。</w:t>
      </w:r>
    </w:p>
    <w:p w14:paraId="6FF619D3">
      <w:pPr>
        <w:keepNext w:val="0"/>
        <w:keepLines w:val="0"/>
        <w:pageBreakBefore w:val="0"/>
        <w:kinsoku/>
        <w:wordWrap/>
        <w:overflowPunct/>
        <w:topLinePunct w:val="0"/>
        <w:autoSpaceDE/>
        <w:autoSpaceDN/>
        <w:bidi w:val="0"/>
        <w:snapToGrid/>
        <w:spacing w:line="52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四、项目建设应严格执行配套建设的环境保护设施与主体工程同时设计、同时施工、同时投产使用的</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三同时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制度。环境影响报告表批准后，项目的性质、规模、地点或生态保护、污染防治措施发生重大变动的，应当按要求重新报批环境影响评价文件。自批准之日起超过5年方决定该项目开工建设的，其环评文件应当报我局重新审核。项目竣工后正式运营前，根据《排污许可管理条例》依法办理排污许可手续，并对配套建设的环境保护设施进行验收，经验收合格后，项目方可投入运行。</w:t>
      </w:r>
    </w:p>
    <w:p w14:paraId="1B3CBA7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lang w:val="en-US" w:eastAsia="zh-CN"/>
        </w:rPr>
        <w:t>、十二师生态环境保护综合行政执法支队和项目所属辖区环境管理部门负责</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三同时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监督检查和日常监管工作。你单位应在收到本批复20个工作日内，将批准后的环境影响报告表及批复分送以上监督管理机构，并按规定接受监督检查。</w:t>
      </w:r>
    </w:p>
    <w:p w14:paraId="2EC11EB8">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default" w:ascii="Times New Roman" w:hAnsi="Times New Roman" w:eastAsia="仿宋_GB2312" w:cs="Times New Roman"/>
          <w:color w:val="auto"/>
          <w:sz w:val="32"/>
          <w:szCs w:val="32"/>
          <w:lang w:val="en-US" w:eastAsia="zh-CN"/>
        </w:rPr>
      </w:pPr>
      <w:bookmarkStart w:id="0" w:name="_GoBack"/>
      <w:bookmarkEnd w:id="0"/>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FC303CC4-CB63-4358-BACC-B854A4AA5EDE}"/>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embedRegular r:id="rId2" w:fontKey="{6DB0F9AA-9E5D-4ACD-A95A-69E745448B8A}"/>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C3E2A">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57C9A">
                          <w:pPr>
                            <w:pStyle w:val="10"/>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C57C9A">
                    <w:pPr>
                      <w:pStyle w:val="10"/>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243479"/>
    <w:multiLevelType w:val="multilevel"/>
    <w:tmpl w:val="98243479"/>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pStyle w:val="5"/>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4B6B1761"/>
    <w:multiLevelType w:val="singleLevel"/>
    <w:tmpl w:val="4B6B1761"/>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Y2U3ODBlY2MzNDk5YmZlMmU4ZDNlYTA3MjRjNjYifQ=="/>
    <w:docVar w:name="KSO_WPS_MARK_KEY" w:val="78d1c1cb-527e-4026-8f9a-c7cbb82ce8a0"/>
  </w:docVars>
  <w:rsids>
    <w:rsidRoot w:val="209C6FB6"/>
    <w:rsid w:val="000B7C11"/>
    <w:rsid w:val="003B507B"/>
    <w:rsid w:val="01954E03"/>
    <w:rsid w:val="02A5264F"/>
    <w:rsid w:val="0303427A"/>
    <w:rsid w:val="03343D40"/>
    <w:rsid w:val="036B03E5"/>
    <w:rsid w:val="03B818B8"/>
    <w:rsid w:val="0418546F"/>
    <w:rsid w:val="0431202E"/>
    <w:rsid w:val="04343F9F"/>
    <w:rsid w:val="049F51EA"/>
    <w:rsid w:val="04B54A0D"/>
    <w:rsid w:val="04B930B4"/>
    <w:rsid w:val="053613BF"/>
    <w:rsid w:val="073B0880"/>
    <w:rsid w:val="07592C22"/>
    <w:rsid w:val="076E74DB"/>
    <w:rsid w:val="07DD39B1"/>
    <w:rsid w:val="09A65D5E"/>
    <w:rsid w:val="0A010824"/>
    <w:rsid w:val="0A300945"/>
    <w:rsid w:val="0BC57258"/>
    <w:rsid w:val="0BDF05C2"/>
    <w:rsid w:val="0C211C5A"/>
    <w:rsid w:val="0C8E2713"/>
    <w:rsid w:val="0DA67DA3"/>
    <w:rsid w:val="0DC736EF"/>
    <w:rsid w:val="0DE620DB"/>
    <w:rsid w:val="0E3A5F83"/>
    <w:rsid w:val="0E9B4DA8"/>
    <w:rsid w:val="0EA801FA"/>
    <w:rsid w:val="0F355C67"/>
    <w:rsid w:val="10705587"/>
    <w:rsid w:val="10A4745D"/>
    <w:rsid w:val="110E093A"/>
    <w:rsid w:val="1130362F"/>
    <w:rsid w:val="12404419"/>
    <w:rsid w:val="12C64D9E"/>
    <w:rsid w:val="132F6CC0"/>
    <w:rsid w:val="1483206F"/>
    <w:rsid w:val="14FD529D"/>
    <w:rsid w:val="152E726E"/>
    <w:rsid w:val="15447BCF"/>
    <w:rsid w:val="15B71C1A"/>
    <w:rsid w:val="15C40BB9"/>
    <w:rsid w:val="16362036"/>
    <w:rsid w:val="17712A16"/>
    <w:rsid w:val="17FD79ED"/>
    <w:rsid w:val="184A2555"/>
    <w:rsid w:val="185B5474"/>
    <w:rsid w:val="1A1B029D"/>
    <w:rsid w:val="1B087B35"/>
    <w:rsid w:val="1B616AD1"/>
    <w:rsid w:val="1BA54230"/>
    <w:rsid w:val="1BDC1A17"/>
    <w:rsid w:val="1C461DE1"/>
    <w:rsid w:val="1CAE56BC"/>
    <w:rsid w:val="1CE957F4"/>
    <w:rsid w:val="1D37451A"/>
    <w:rsid w:val="1E3D7AF5"/>
    <w:rsid w:val="1EDF0A99"/>
    <w:rsid w:val="1F6B0692"/>
    <w:rsid w:val="1F811721"/>
    <w:rsid w:val="1F8F686F"/>
    <w:rsid w:val="1FC030C2"/>
    <w:rsid w:val="20186416"/>
    <w:rsid w:val="20232162"/>
    <w:rsid w:val="20920B1E"/>
    <w:rsid w:val="209C6FB6"/>
    <w:rsid w:val="21A71CFD"/>
    <w:rsid w:val="21EE2624"/>
    <w:rsid w:val="22FC519D"/>
    <w:rsid w:val="23D77FA4"/>
    <w:rsid w:val="24197569"/>
    <w:rsid w:val="24DF43F3"/>
    <w:rsid w:val="26DF46BD"/>
    <w:rsid w:val="277C3179"/>
    <w:rsid w:val="27A72484"/>
    <w:rsid w:val="27B950AC"/>
    <w:rsid w:val="27D77E95"/>
    <w:rsid w:val="28B30D34"/>
    <w:rsid w:val="2A043D84"/>
    <w:rsid w:val="2A3D5940"/>
    <w:rsid w:val="2A9A61BF"/>
    <w:rsid w:val="2BB20A80"/>
    <w:rsid w:val="2C526A72"/>
    <w:rsid w:val="2C6F3531"/>
    <w:rsid w:val="2D473EFE"/>
    <w:rsid w:val="2E1413FF"/>
    <w:rsid w:val="2E2928EF"/>
    <w:rsid w:val="31C250C8"/>
    <w:rsid w:val="323B7709"/>
    <w:rsid w:val="32CB48A0"/>
    <w:rsid w:val="33C66FC5"/>
    <w:rsid w:val="342D0001"/>
    <w:rsid w:val="35377AB9"/>
    <w:rsid w:val="353B1465"/>
    <w:rsid w:val="35796375"/>
    <w:rsid w:val="358A766C"/>
    <w:rsid w:val="36356EAC"/>
    <w:rsid w:val="37130FE3"/>
    <w:rsid w:val="37360960"/>
    <w:rsid w:val="378857B3"/>
    <w:rsid w:val="378C012D"/>
    <w:rsid w:val="37982D8A"/>
    <w:rsid w:val="37ED6CAA"/>
    <w:rsid w:val="38421659"/>
    <w:rsid w:val="390B0AC4"/>
    <w:rsid w:val="394207DB"/>
    <w:rsid w:val="3A157721"/>
    <w:rsid w:val="3A1B478A"/>
    <w:rsid w:val="3A7A6DCD"/>
    <w:rsid w:val="3B56320E"/>
    <w:rsid w:val="3B702097"/>
    <w:rsid w:val="3C457435"/>
    <w:rsid w:val="3CD13EDB"/>
    <w:rsid w:val="3E407CE8"/>
    <w:rsid w:val="3EFC3218"/>
    <w:rsid w:val="408D1F7C"/>
    <w:rsid w:val="409F2D25"/>
    <w:rsid w:val="41481ED3"/>
    <w:rsid w:val="42141B9B"/>
    <w:rsid w:val="426A7BCE"/>
    <w:rsid w:val="43611640"/>
    <w:rsid w:val="440C3582"/>
    <w:rsid w:val="448434D9"/>
    <w:rsid w:val="457C4008"/>
    <w:rsid w:val="46821C9A"/>
    <w:rsid w:val="46C40A3A"/>
    <w:rsid w:val="4735463A"/>
    <w:rsid w:val="47A05AAA"/>
    <w:rsid w:val="483671E0"/>
    <w:rsid w:val="494C3228"/>
    <w:rsid w:val="496F3E8B"/>
    <w:rsid w:val="4AEF475E"/>
    <w:rsid w:val="4B3B3D3D"/>
    <w:rsid w:val="4C1D505D"/>
    <w:rsid w:val="4C935F3D"/>
    <w:rsid w:val="4CB30DFF"/>
    <w:rsid w:val="4CCC0113"/>
    <w:rsid w:val="4E497B5F"/>
    <w:rsid w:val="4EE6170D"/>
    <w:rsid w:val="51A62C6F"/>
    <w:rsid w:val="51E8156B"/>
    <w:rsid w:val="522C7607"/>
    <w:rsid w:val="550B1D3D"/>
    <w:rsid w:val="557C789C"/>
    <w:rsid w:val="559F61B5"/>
    <w:rsid w:val="56466840"/>
    <w:rsid w:val="56982E14"/>
    <w:rsid w:val="573617D2"/>
    <w:rsid w:val="578034B6"/>
    <w:rsid w:val="57FD08D3"/>
    <w:rsid w:val="58635A95"/>
    <w:rsid w:val="58AC6A92"/>
    <w:rsid w:val="5902641E"/>
    <w:rsid w:val="5A0C7A0D"/>
    <w:rsid w:val="5B107A78"/>
    <w:rsid w:val="5B5201FC"/>
    <w:rsid w:val="5C9556DA"/>
    <w:rsid w:val="5CB5471F"/>
    <w:rsid w:val="5CE96177"/>
    <w:rsid w:val="5D4B0BE0"/>
    <w:rsid w:val="5D975035"/>
    <w:rsid w:val="5E8667BF"/>
    <w:rsid w:val="5F0A7158"/>
    <w:rsid w:val="5FA01104"/>
    <w:rsid w:val="616B35FF"/>
    <w:rsid w:val="61ED1CAB"/>
    <w:rsid w:val="632C5E80"/>
    <w:rsid w:val="633839B4"/>
    <w:rsid w:val="637F05E7"/>
    <w:rsid w:val="63E1404C"/>
    <w:rsid w:val="6436423C"/>
    <w:rsid w:val="646B3552"/>
    <w:rsid w:val="652303E3"/>
    <w:rsid w:val="668C7E5F"/>
    <w:rsid w:val="678A222B"/>
    <w:rsid w:val="67D113D6"/>
    <w:rsid w:val="67E956CD"/>
    <w:rsid w:val="68A87B77"/>
    <w:rsid w:val="68D922DD"/>
    <w:rsid w:val="69E6594B"/>
    <w:rsid w:val="69ED55BD"/>
    <w:rsid w:val="6A9A30D8"/>
    <w:rsid w:val="6AB26975"/>
    <w:rsid w:val="6AE544EF"/>
    <w:rsid w:val="6B923E7E"/>
    <w:rsid w:val="6C9C3206"/>
    <w:rsid w:val="6CF32868"/>
    <w:rsid w:val="6D1A3FF7"/>
    <w:rsid w:val="6DD8026E"/>
    <w:rsid w:val="6F72024E"/>
    <w:rsid w:val="6FFE1AE2"/>
    <w:rsid w:val="723E2669"/>
    <w:rsid w:val="738C16D6"/>
    <w:rsid w:val="73BC2374"/>
    <w:rsid w:val="740718AD"/>
    <w:rsid w:val="743374C1"/>
    <w:rsid w:val="74E42CE2"/>
    <w:rsid w:val="75114B05"/>
    <w:rsid w:val="755C6E6D"/>
    <w:rsid w:val="76123086"/>
    <w:rsid w:val="7666465D"/>
    <w:rsid w:val="76F8372F"/>
    <w:rsid w:val="77B016F4"/>
    <w:rsid w:val="77CC387B"/>
    <w:rsid w:val="77EA1CD8"/>
    <w:rsid w:val="797B56E2"/>
    <w:rsid w:val="79A4094F"/>
    <w:rsid w:val="7AAB3520"/>
    <w:rsid w:val="7C555D07"/>
    <w:rsid w:val="7C7F037E"/>
    <w:rsid w:val="7D663E95"/>
    <w:rsid w:val="7DF671D6"/>
    <w:rsid w:val="7E2E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9"/>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4">
    <w:name w:val="heading 3"/>
    <w:basedOn w:val="1"/>
    <w:next w:val="1"/>
    <w:qFormat/>
    <w:uiPriority w:val="0"/>
    <w:pPr>
      <w:keepNext/>
      <w:keepLines/>
      <w:spacing w:line="360" w:lineRule="auto"/>
      <w:outlineLvl w:val="2"/>
    </w:pPr>
    <w:rPr>
      <w:b/>
      <w:bCs/>
      <w:sz w:val="24"/>
      <w:szCs w:val="32"/>
    </w:rPr>
  </w:style>
  <w:style w:type="paragraph" w:styleId="5">
    <w:name w:val="heading 5"/>
    <w:basedOn w:val="1"/>
    <w:next w:val="1"/>
    <w:unhideWhenUsed/>
    <w:qFormat/>
    <w:uiPriority w:val="9"/>
    <w:pPr>
      <w:keepNext/>
      <w:keepLines/>
      <w:numPr>
        <w:ilvl w:val="4"/>
        <w:numId w:val="1"/>
      </w:numPr>
      <w:spacing w:before="50" w:beforeLines="50"/>
      <w:outlineLvl w:val="4"/>
    </w:p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autoSpaceDE w:val="0"/>
      <w:autoSpaceDN w:val="0"/>
      <w:adjustRightInd w:val="0"/>
      <w:snapToGrid w:val="0"/>
      <w:spacing w:line="580" w:lineRule="exact"/>
      <w:textAlignment w:val="baseline"/>
    </w:pPr>
    <w:rPr>
      <w:rFonts w:ascii="仿宋_GB2312" w:eastAsia="仿宋_GB2312"/>
      <w:spacing w:val="-20"/>
      <w:kern w:val="0"/>
      <w:sz w:val="32"/>
      <w:szCs w:val="20"/>
    </w:rPr>
  </w:style>
  <w:style w:type="paragraph" w:styleId="3">
    <w:name w:val="List Bullet 5"/>
    <w:basedOn w:val="1"/>
    <w:qFormat/>
    <w:uiPriority w:val="0"/>
    <w:pPr>
      <w:numPr>
        <w:ilvl w:val="0"/>
        <w:numId w:val="2"/>
      </w:numPr>
    </w:pPr>
  </w:style>
  <w:style w:type="paragraph" w:styleId="6">
    <w:name w:val="Normal Indent"/>
    <w:basedOn w:val="1"/>
    <w:next w:val="1"/>
    <w:qFormat/>
    <w:uiPriority w:val="0"/>
    <w:pPr>
      <w:ind w:firstLine="420"/>
    </w:pPr>
  </w:style>
  <w:style w:type="paragraph" w:styleId="7">
    <w:name w:val="annotation text"/>
    <w:basedOn w:val="1"/>
    <w:qFormat/>
    <w:uiPriority w:val="0"/>
    <w:pPr>
      <w:jc w:val="left"/>
    </w:pPr>
  </w:style>
  <w:style w:type="paragraph" w:styleId="8">
    <w:name w:val="Body Text Indent"/>
    <w:basedOn w:val="1"/>
    <w:next w:val="1"/>
    <w:qFormat/>
    <w:uiPriority w:val="0"/>
    <w:pPr>
      <w:spacing w:after="120" w:afterLines="0" w:afterAutospacing="0"/>
      <w:ind w:left="420" w:leftChars="200"/>
    </w:pPr>
  </w:style>
  <w:style w:type="paragraph" w:styleId="9">
    <w:name w:val="Body Text Indent 2"/>
    <w:basedOn w:val="1"/>
    <w:qFormat/>
    <w:uiPriority w:val="0"/>
    <w:pPr>
      <w:snapToGrid w:val="0"/>
      <w:spacing w:line="420" w:lineRule="exact"/>
      <w:ind w:firstLine="480"/>
    </w:pPr>
    <w:rPr>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able of figures"/>
    <w:basedOn w:val="1"/>
    <w:next w:val="1"/>
    <w:qFormat/>
    <w:uiPriority w:val="0"/>
    <w:pPr>
      <w:autoSpaceDE w:val="0"/>
      <w:autoSpaceDN w:val="0"/>
      <w:spacing w:line="240" w:lineRule="auto"/>
      <w:ind w:firstLine="0" w:firstLineChars="0"/>
      <w:jc w:val="center"/>
    </w:pPr>
    <w:rPr>
      <w:b/>
      <w:bCs/>
      <w:iCs/>
    </w:rPr>
  </w:style>
  <w:style w:type="paragraph" w:styleId="13">
    <w:name w:val="Body Text First Indent"/>
    <w:basedOn w:val="2"/>
    <w:qFormat/>
    <w:uiPriority w:val="0"/>
  </w:style>
  <w:style w:type="paragraph" w:styleId="14">
    <w:name w:val="Body Text First Indent 2"/>
    <w:basedOn w:val="8"/>
    <w:next w:val="13"/>
    <w:qFormat/>
    <w:uiPriority w:val="0"/>
    <w:pPr>
      <w:ind w:firstLine="420" w:firstLineChars="200"/>
    </w:p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样式 首行缩进:  2 字符1"/>
    <w:basedOn w:val="1"/>
    <w:qFormat/>
    <w:uiPriority w:val="0"/>
    <w:pPr>
      <w:spacing w:before="120" w:line="400" w:lineRule="exact"/>
      <w:ind w:firstLine="200" w:firstLineChars="200"/>
    </w:pPr>
    <w:rPr>
      <w:sz w:val="24"/>
      <w:szCs w:val="20"/>
    </w:rPr>
  </w:style>
  <w:style w:type="paragraph" w:customStyle="1" w:styleId="19">
    <w:name w:val="Default"/>
    <w:basedOn w:val="20"/>
    <w:next w:val="1"/>
    <w:qFormat/>
    <w:uiPriority w:val="0"/>
    <w:pPr>
      <w:widowControl w:val="0"/>
      <w:tabs>
        <w:tab w:val="left" w:pos="1845"/>
      </w:tabs>
      <w:autoSpaceDE w:val="0"/>
      <w:autoSpaceDN w:val="0"/>
      <w:adjustRightInd w:val="0"/>
    </w:pPr>
    <w:rPr>
      <w:rFonts w:ascii="宋体" w:cs="宋体"/>
      <w:color w:val="000000"/>
      <w:sz w:val="24"/>
      <w:szCs w:val="24"/>
      <w:lang w:val="en-US" w:eastAsia="zh-CN" w:bidi="ar-SA"/>
    </w:rPr>
  </w:style>
  <w:style w:type="paragraph" w:customStyle="1" w:styleId="20">
    <w:name w:val="纯文本1"/>
    <w:basedOn w:val="1"/>
    <w:qFormat/>
    <w:uiPriority w:val="0"/>
    <w:pPr>
      <w:tabs>
        <w:tab w:val="left" w:pos="1845"/>
      </w:tabs>
      <w:spacing w:line="240" w:lineRule="exact"/>
      <w:jc w:val="center"/>
    </w:pPr>
    <w:rPr>
      <w:sz w:val="18"/>
    </w:rPr>
  </w:style>
  <w:style w:type="paragraph" w:customStyle="1" w:styleId="21">
    <w:name w:val="样式 样式 样式 四号 左侧:  1.53 厘米 + 首行缩进:  2 字符 + 居中 左侧:  2 字符 首行缩进:  2..."/>
    <w:basedOn w:val="1"/>
    <w:qFormat/>
    <w:uiPriority w:val="0"/>
    <w:pPr>
      <w:adjustRightInd w:val="0"/>
      <w:spacing w:line="240" w:lineRule="auto"/>
      <w:ind w:left="200" w:leftChars="200" w:firstLine="0" w:firstLineChars="0"/>
      <w:jc w:val="center"/>
    </w:pPr>
    <w:rPr>
      <w:rFonts w:ascii="Calibri" w:hAnsi="Calibri" w:cs="宋体"/>
      <w:w w:val="90"/>
      <w:sz w:val="28"/>
      <w:szCs w:val="20"/>
    </w:rPr>
  </w:style>
  <w:style w:type="paragraph" w:customStyle="1" w:styleId="22">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23">
    <w:name w:val="xl27"/>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pPr>
    <w:rPr>
      <w:rFonts w:ascii="Arial Unicode MS" w:hAnsi="Arial Unicode MS" w:eastAsia="Arial Unicode MS" w:cs="Arial Unicode MS"/>
      <w:sz w:val="18"/>
      <w:szCs w:val="18"/>
    </w:rPr>
  </w:style>
  <w:style w:type="paragraph" w:customStyle="1" w:styleId="24">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25">
    <w:name w:val="样式5"/>
    <w:basedOn w:val="6"/>
    <w:qFormat/>
    <w:uiPriority w:val="0"/>
    <w:pPr>
      <w:snapToGrid w:val="0"/>
      <w:spacing w:before="62" w:beforeLines="20" w:after="62" w:afterLines="20" w:line="480" w:lineRule="exact"/>
      <w:ind w:firstLine="523" w:firstLineChars="218"/>
      <w:jc w:val="both"/>
    </w:pPr>
    <w:rPr>
      <w:i/>
      <w:iCs/>
      <w:kern w:val="2"/>
      <w:sz w:val="24"/>
      <w:szCs w:val="20"/>
    </w:rPr>
  </w:style>
  <w:style w:type="paragraph" w:customStyle="1" w:styleId="26">
    <w:name w:val="正文(首行缩进)"/>
    <w:basedOn w:val="1"/>
    <w:next w:val="1"/>
    <w:qFormat/>
    <w:uiPriority w:val="0"/>
    <w:pPr>
      <w:spacing w:line="360" w:lineRule="auto"/>
      <w:ind w:firstLine="540" w:firstLineChars="225"/>
    </w:pPr>
    <w:rPr>
      <w:snapToGrid w:val="0"/>
      <w:color w:val="000000"/>
      <w:sz w:val="24"/>
      <w:szCs w:val="24"/>
    </w:rPr>
  </w:style>
  <w:style w:type="paragraph" w:customStyle="1" w:styleId="27">
    <w:name w:val="Normal Indent1"/>
    <w:basedOn w:val="1"/>
    <w:qFormat/>
    <w:uiPriority w:val="0"/>
    <w:pPr>
      <w:ind w:firstLine="420" w:firstLineChars="200"/>
    </w:pPr>
  </w:style>
  <w:style w:type="paragraph" w:customStyle="1" w:styleId="28">
    <w:name w:val="BodyText"/>
    <w:basedOn w:val="1"/>
    <w:qFormat/>
    <w:uiPriority w:val="0"/>
    <w:pPr>
      <w:spacing w:after="120"/>
      <w:jc w:val="both"/>
      <w:textAlignment w:val="baseline"/>
    </w:pPr>
  </w:style>
  <w:style w:type="character" w:customStyle="1" w:styleId="29">
    <w:name w:val="NormalCharacter"/>
    <w:link w:val="1"/>
    <w:semiHidden/>
    <w:qFormat/>
    <w:uiPriority w:val="0"/>
    <w:rPr>
      <w:rFonts w:ascii="Times New Roman" w:hAnsi="Times New Roman" w:eastAsia="宋体" w:cstheme="minorBidi"/>
      <w:kern w:val="2"/>
      <w:sz w:val="21"/>
      <w:szCs w:val="24"/>
      <w:lang w:val="en-US" w:eastAsia="zh-CN" w:bidi="ar-SA"/>
    </w:rPr>
  </w:style>
  <w:style w:type="paragraph" w:customStyle="1" w:styleId="30">
    <w:name w:val="UserStyle_4"/>
    <w:basedOn w:val="1"/>
    <w:qFormat/>
    <w:uiPriority w:val="0"/>
    <w:pPr>
      <w:ind w:left="200" w:leftChars="200" w:firstLine="200" w:firstLineChars="200"/>
      <w:jc w:val="both"/>
      <w:textAlignment w:val="baseline"/>
    </w:pPr>
    <w:rPr>
      <w:rFonts w:ascii="宋体" w:hAnsi="宋体"/>
      <w:color w:val="000000"/>
      <w:kern w:val="2"/>
      <w:sz w:val="32"/>
      <w:szCs w:val="32"/>
      <w:lang w:val="en-US" w:eastAsia="zh-CN" w:bidi="ar-SA"/>
    </w:rPr>
  </w:style>
  <w:style w:type="paragraph" w:customStyle="1" w:styleId="31">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宋体" w:cs="Arial Unicode MS"/>
      <w:color w:val="000000"/>
      <w:kern w:val="2"/>
      <w:sz w:val="21"/>
      <w:szCs w:val="21"/>
      <w:u w:val="none" w:color="000000"/>
      <w:lang w:val="en-US" w:eastAsia="zh-CN" w:bidi="ar-SA"/>
    </w:rPr>
  </w:style>
  <w:style w:type="paragraph" w:customStyle="1" w:styleId="32">
    <w:name w:val="报告1"/>
    <w:basedOn w:val="1"/>
    <w:qFormat/>
    <w:uiPriority w:val="0"/>
    <w:pPr>
      <w:adjustRightInd w:val="0"/>
      <w:spacing w:line="360" w:lineRule="auto"/>
      <w:ind w:firstLine="505"/>
      <w:jc w:val="left"/>
      <w:textAlignment w:val="baseline"/>
    </w:pPr>
    <w:rPr>
      <w:kern w:val="0"/>
      <w:sz w:val="24"/>
    </w:rPr>
  </w:style>
  <w:style w:type="paragraph" w:customStyle="1" w:styleId="33">
    <w:name w:val="A正文"/>
    <w:basedOn w:val="1"/>
    <w:qFormat/>
    <w:uiPriority w:val="0"/>
    <w:pPr>
      <w:spacing w:line="560" w:lineRule="exact"/>
      <w:ind w:firstLine="599" w:firstLineChars="200"/>
    </w:pPr>
    <w:rPr>
      <w:rFonts w:ascii="仿宋_GB2312" w:hAnsi="仿宋_GB2312" w:eastAsia="仿宋_GB2312" w:cs="Times New Roman"/>
      <w:bCs/>
      <w:spacing w:val="-8"/>
      <w:sz w:val="32"/>
      <w:szCs w:val="32"/>
    </w:rPr>
  </w:style>
  <w:style w:type="paragraph" w:customStyle="1" w:styleId="3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1790</Words>
  <Characters>1935</Characters>
  <Lines>0</Lines>
  <Paragraphs>0</Paragraphs>
  <TotalTime>6</TotalTime>
  <ScaleCrop>false</ScaleCrop>
  <LinksUpToDate>false</LinksUpToDate>
  <CharactersWithSpaces>2020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2023-03-31T08:28:00Z</dcterms:created>
  <dc:creator>Lenovo1</dc:creator>
  <cp:lastModifiedBy>Krismileˇ~</cp:lastModifiedBy>
  <cp:lastPrinted>2025-11-27T03:17:00Z</cp:lastPrinted>
  <dcterms:modified xsi:type="dcterms:W3CDTF">2026-07-17T04:47:41Z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B5CC7F6A7ED34A1E922F84BE5BAFEA4E_13</vt:lpwstr>
  </property>
  <property fmtid="{D5CDD505-2E9C-101B-9397-08002B2CF9AE}" pid="4" name="KSOTemplateDocerSaveRecord">
    <vt:lpwstr>eyJoZGlkIjoiOTA3YWNiNGY5NTYwYmI5ZWExYmVjZmZhYzE1YmNiMmUiLCJ1c2VySWQiOiI0NDQ3ODQwNzcifQ==</vt:lpwstr>
  </property>
</Properties>
</file>