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87F7A">
      <w:pPr>
        <w:pStyle w:val="2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sz w:val="32"/>
          <w:szCs w:val="32"/>
          <w:lang w:val="en-US" w:eastAsia="zh-CN"/>
        </w:rPr>
      </w:pPr>
    </w:p>
    <w:p w14:paraId="6EC3EC6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b w:val="0"/>
          <w:bCs w:val="0"/>
          <w:color w:val="auto"/>
          <w:spacing w:val="-20"/>
          <w:sz w:val="44"/>
          <w:szCs w:val="44"/>
          <w:lang w:val="en-US" w:eastAsia="zh-CN"/>
        </w:rPr>
      </w:pPr>
      <w:r>
        <w:rPr>
          <w:rFonts w:hint="eastAsia" w:ascii="Times New Roman" w:hAnsi="Times New Roman" w:eastAsia="方正小标宋简体" w:cs="Times New Roman"/>
          <w:sz w:val="44"/>
          <w:szCs w:val="44"/>
          <w:lang w:val="en-US" w:eastAsia="zh-CN"/>
        </w:rPr>
        <w:t>关于年产1亿条包装袋项目</w:t>
      </w:r>
      <w:r>
        <w:rPr>
          <w:rFonts w:hint="default" w:ascii="Times New Roman" w:hAnsi="Times New Roman" w:eastAsia="方正小标宋简体" w:cs="Times New Roman"/>
          <w:b w:val="0"/>
          <w:bCs w:val="0"/>
          <w:color w:val="auto"/>
          <w:spacing w:val="-20"/>
          <w:sz w:val="44"/>
          <w:szCs w:val="44"/>
          <w:lang w:val="en-US" w:eastAsia="zh-CN"/>
        </w:rPr>
        <w:t>环境影响报告表</w:t>
      </w:r>
    </w:p>
    <w:p w14:paraId="0075261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的批复</w:t>
      </w:r>
    </w:p>
    <w:p w14:paraId="67C52F69">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default" w:ascii="Times New Roman" w:hAnsi="Times New Roman" w:eastAsia="仿宋_GB2312" w:cs="Times New Roman"/>
          <w:sz w:val="32"/>
          <w:szCs w:val="32"/>
        </w:rPr>
      </w:pPr>
    </w:p>
    <w:p w14:paraId="61DE081C">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新疆三商包装科技有限公司：</w:t>
      </w:r>
    </w:p>
    <w:p w14:paraId="5663E4A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你单位报送的由新疆中新荣耀环境工程有限公司编制的《年产1亿条包装袋项目环境影响报告表》（以下简称《报告表》）收悉。根据《中华人民共和国行政许可法》第三十八条第一款、《中华人民共和国环境影响评价法》第二十二条第三款，经审查，现批复如下</w:t>
      </w:r>
      <w:r>
        <w:rPr>
          <w:rFonts w:hint="eastAsia" w:ascii="Times New Roman" w:hAnsi="Times New Roman" w:eastAsia="仿宋_GB2312" w:cs="Times New Roman"/>
          <w:color w:val="auto"/>
          <w:sz w:val="32"/>
          <w:szCs w:val="32"/>
          <w:lang w:val="en-US" w:eastAsia="zh-CN"/>
        </w:rPr>
        <w:t>：</w:t>
      </w:r>
    </w:p>
    <w:p w14:paraId="1207C0B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本项目位于新疆乌鲁木齐市（第十二师）头屯河区三坪农场东坪大道康乐街179号中厨区1号001号，厂址中心地理坐标为东经87°22′23.501″，北纬43°54′53.862″。项目区东侧为新疆大航城产业园方舟机械，西侧为空地，北侧为乌鲁木齐市头屯河区东坪大道，南侧为东方百和蚁链物流科技产业园。</w:t>
      </w:r>
    </w:p>
    <w:p w14:paraId="7DD87C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highlight w:val="none"/>
          <w:lang w:val="en-US" w:eastAsia="zh-CN"/>
        </w:rPr>
        <w:t>建设内容：</w:t>
      </w:r>
      <w:r>
        <w:rPr>
          <w:rFonts w:hint="eastAsia" w:ascii="Times New Roman" w:hAnsi="Times New Roman" w:eastAsia="仿宋_GB2312" w:cs="Times New Roman"/>
          <w:color w:val="auto"/>
          <w:sz w:val="32"/>
          <w:szCs w:val="32"/>
          <w:lang w:val="en-US" w:eastAsia="zh-CN"/>
        </w:rPr>
        <w:t>本项目建设性质为新建。租用新疆一鸣包装有限公司的空置厂房。项目建成后年产1亿条包装袋。</w:t>
      </w:r>
    </w:p>
    <w:p w14:paraId="64FABDB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本项目总投资</w:t>
      </w:r>
      <w:r>
        <w:rPr>
          <w:rFonts w:hint="eastAsia" w:eastAsia="仿宋_GB2312" w:cs="Times New Roman"/>
          <w:color w:val="auto"/>
          <w:sz w:val="32"/>
          <w:szCs w:val="32"/>
          <w:lang w:val="en-US" w:eastAsia="zh-CN"/>
        </w:rPr>
        <w:t>3200</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其中</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环保投资</w:t>
      </w:r>
      <w:r>
        <w:rPr>
          <w:rFonts w:hint="eastAsia" w:eastAsia="仿宋_GB2312" w:cs="Times New Roman"/>
          <w:bCs/>
          <w:color w:val="auto"/>
          <w:sz w:val="32"/>
          <w:szCs w:val="32"/>
          <w:lang w:val="en-US" w:eastAsia="zh-CN"/>
        </w:rPr>
        <w:t>45</w:t>
      </w:r>
      <w:r>
        <w:rPr>
          <w:rFonts w:hint="default" w:ascii="Times New Roman" w:hAnsi="Times New Roman" w:eastAsia="仿宋_GB2312" w:cs="Times New Roman"/>
          <w:color w:val="auto"/>
          <w:sz w:val="32"/>
          <w:szCs w:val="32"/>
          <w:highlight w:val="none"/>
          <w:lang w:val="en-US" w:eastAsia="zh-CN"/>
        </w:rPr>
        <w:t>万元，占总投资</w:t>
      </w:r>
      <w:r>
        <w:rPr>
          <w:rFonts w:hint="eastAsia"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lang w:val="en-US" w:eastAsia="zh-CN"/>
        </w:rPr>
        <w:t>%</w:t>
      </w:r>
      <w:r>
        <w:rPr>
          <w:rFonts w:hint="eastAsia" w:eastAsia="仿宋_GB2312" w:cs="Times New Roman"/>
          <w:color w:val="auto"/>
          <w:sz w:val="32"/>
          <w:szCs w:val="32"/>
          <w:highlight w:val="none"/>
          <w:lang w:val="en-US" w:eastAsia="zh-CN"/>
        </w:rPr>
        <w:t>）。</w:t>
      </w:r>
    </w:p>
    <w:p w14:paraId="0EBDF28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val="en-US" w:eastAsia="zh-CN"/>
        </w:rPr>
        <w:t>评价结论</w:t>
      </w:r>
    </w:p>
    <w:p w14:paraId="03BF5E8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Style w:val="29"/>
          <w:rFonts w:hint="default" w:ascii="Times New Roman" w:hAnsi="Times New Roman" w:eastAsia="仿宋_GB2312" w:cs="Times New Roman"/>
          <w:b w:val="0"/>
          <w:i w:val="0"/>
          <w:caps w:val="0"/>
          <w:color w:val="000000"/>
          <w:spacing w:val="0"/>
          <w:w w:val="100"/>
          <w:kern w:val="2"/>
          <w:sz w:val="32"/>
          <w:szCs w:val="32"/>
          <w:lang w:val="en-US" w:eastAsia="zh-CN" w:bidi="ar-SA"/>
        </w:rPr>
      </w:pPr>
      <w:r>
        <w:rPr>
          <w:rStyle w:val="29"/>
          <w:rFonts w:hint="default" w:ascii="Times New Roman" w:hAnsi="Times New Roman" w:eastAsia="仿宋_GB2312" w:cs="Times New Roman"/>
          <w:b w:val="0"/>
          <w:i w:val="0"/>
          <w:caps w:val="0"/>
          <w:color w:val="000000"/>
          <w:spacing w:val="0"/>
          <w:w w:val="100"/>
          <w:kern w:val="2"/>
          <w:sz w:val="32"/>
          <w:szCs w:val="32"/>
          <w:lang w:val="en-US" w:eastAsia="zh-CN" w:bidi="ar-SA"/>
        </w:rPr>
        <w:t>在全面落实《报告表》中提出的各项防治生态破坏和环境污染措施的前提下，项目建设对环境的不利影响能够得到缓解和控制。我局原则同意《报告表》中所列建设项目的性质、规模、地点和拟采取的环境保护措施。</w:t>
      </w:r>
    </w:p>
    <w:p w14:paraId="0AB3B389">
      <w:pPr>
        <w:pStyle w:val="31"/>
        <w:keepNext w:val="0"/>
        <w:keepLines w:val="0"/>
        <w:pageBreakBefore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20" w:lineRule="exact"/>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lang w:val="en-US" w:eastAsia="zh-CN"/>
        </w:rPr>
        <w:t>在项目设计、建设、运营和环境管理中要认真落实《报告</w:t>
      </w:r>
      <w:r>
        <w:rPr>
          <w:rFonts w:hint="default" w:eastAsia="仿宋_GB2312" w:cs="Times New Roman"/>
          <w:color w:val="auto"/>
          <w:sz w:val="32"/>
          <w:szCs w:val="32"/>
          <w:highlight w:val="none"/>
          <w:lang w:val="en-US" w:eastAsia="zh-CN"/>
        </w:rPr>
        <w:t>表</w:t>
      </w:r>
      <w:r>
        <w:rPr>
          <w:rFonts w:hint="default" w:ascii="Times New Roman" w:hAnsi="Times New Roman" w:eastAsia="仿宋_GB2312" w:cs="Times New Roman"/>
          <w:color w:val="auto"/>
          <w:sz w:val="32"/>
          <w:szCs w:val="32"/>
          <w:highlight w:val="none"/>
          <w:lang w:val="en-US" w:eastAsia="zh-CN"/>
        </w:rPr>
        <w:t>》提出的各项环保要求，严格执行环保</w:t>
      </w:r>
      <w:r>
        <w:rPr>
          <w:rFonts w:hint="default"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三同时</w:t>
      </w:r>
      <w:r>
        <w:rPr>
          <w:rFonts w:hint="default"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制度，确保污染物稳定达标排放，并达到以下要求：</w:t>
      </w:r>
    </w:p>
    <w:p w14:paraId="15795D1D">
      <w:pPr>
        <w:pStyle w:val="14"/>
        <w:keepNext w:val="0"/>
        <w:keepLines w:val="0"/>
        <w:pageBreakBefore w:val="0"/>
        <w:numPr>
          <w:ilvl w:val="0"/>
          <w:numId w:val="0"/>
        </w:numPr>
        <w:kinsoku/>
        <w:wordWrap/>
        <w:overflowPunct/>
        <w:topLinePunct w:val="0"/>
        <w:autoSpaceDE/>
        <w:autoSpaceDN/>
        <w:bidi w:val="0"/>
        <w:adjustRightInd/>
        <w:snapToGrid/>
        <w:spacing w:after="0" w:afterLines="0" w:line="52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w:t>
      </w:r>
      <w:r>
        <w:rPr>
          <w:rFonts w:hint="default" w:eastAsia="仿宋_GB2312" w:cs="Times New Roman"/>
          <w:color w:val="auto"/>
          <w:sz w:val="32"/>
          <w:szCs w:val="32"/>
          <w:highlight w:val="none"/>
          <w:lang w:val="en-US" w:eastAsia="zh-CN"/>
        </w:rPr>
        <w:t>落</w:t>
      </w:r>
      <w:r>
        <w:rPr>
          <w:rFonts w:hint="default" w:ascii="Times New Roman" w:hAnsi="Times New Roman" w:eastAsia="仿宋_GB2312" w:cs="Times New Roman"/>
          <w:color w:val="auto"/>
          <w:sz w:val="32"/>
          <w:szCs w:val="32"/>
          <w:highlight w:val="none"/>
          <w:lang w:val="en-US" w:eastAsia="zh-CN"/>
        </w:rPr>
        <w:t>实废气污染防治措施。本项目印刷工序产生</w:t>
      </w:r>
      <w:r>
        <w:rPr>
          <w:rFonts w:hint="eastAsia" w:eastAsia="仿宋_GB2312" w:cs="Times New Roman"/>
          <w:color w:val="auto"/>
          <w:sz w:val="32"/>
          <w:szCs w:val="32"/>
          <w:highlight w:val="none"/>
          <w:lang w:val="en-US" w:eastAsia="zh-CN"/>
        </w:rPr>
        <w:t>废气</w:t>
      </w:r>
      <w:r>
        <w:rPr>
          <w:rFonts w:hint="default" w:ascii="Times New Roman" w:hAnsi="Times New Roman" w:eastAsia="仿宋_GB2312" w:cs="Times New Roman"/>
          <w:color w:val="auto"/>
          <w:sz w:val="32"/>
          <w:szCs w:val="32"/>
          <w:highlight w:val="none"/>
          <w:lang w:val="en-US" w:eastAsia="zh-CN"/>
        </w:rPr>
        <w:t>经集气罩负压收集后引至一套“活性炭吸附+催化燃烧装置（CO）”处理，通过1根15米高的排气筒（DA001）排放，非甲烷总烃排放浓度满足《印刷工业大气污染物排放标准》（GB 41616-2022）表1大气污染物排放限值要求。臭气浓度满足《恶臭污染物排放标准》（GB 14554-93）中表2恶臭污染物排放标准要求。</w:t>
      </w:r>
    </w:p>
    <w:p w14:paraId="516D6DA8">
      <w:pPr>
        <w:pStyle w:val="14"/>
        <w:keepNext w:val="0"/>
        <w:keepLines w:val="0"/>
        <w:pageBreakBefore w:val="0"/>
        <w:numPr>
          <w:ilvl w:val="0"/>
          <w:numId w:val="0"/>
        </w:numPr>
        <w:kinsoku/>
        <w:wordWrap/>
        <w:overflowPunct/>
        <w:topLinePunct w:val="0"/>
        <w:autoSpaceDE/>
        <w:autoSpaceDN/>
        <w:bidi w:val="0"/>
        <w:adjustRightInd/>
        <w:snapToGrid/>
        <w:spacing w:after="0" w:afterLines="0" w:line="52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本项目厂界无组织排放非甲烷总烃满足《大气污染物综合排放标准》（GB16297-1996）表2新污染源大气污染物无组织排放监控浓度限值</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厂区内无组织排放非甲烷总烃执行《挥发性有机物无组织排放控制标准》（GB37822-2019）表A.1厂区内VOCs无组织排放限值中特别排放限值要求。臭气无组织排放浓度满足《恶臭污染物排放标准》（GB14554-93）中表1二级标准限值的要求。</w:t>
      </w:r>
    </w:p>
    <w:p w14:paraId="2808FCDE">
      <w:pPr>
        <w:pStyle w:val="14"/>
        <w:keepNext w:val="0"/>
        <w:keepLines w:val="0"/>
        <w:pageBreakBefore w:val="0"/>
        <w:numPr>
          <w:ilvl w:val="0"/>
          <w:numId w:val="0"/>
        </w:numPr>
        <w:kinsoku/>
        <w:wordWrap/>
        <w:overflowPunct/>
        <w:topLinePunct w:val="0"/>
        <w:autoSpaceDE/>
        <w:autoSpaceDN/>
        <w:bidi w:val="0"/>
        <w:adjustRightInd/>
        <w:snapToGrid/>
        <w:spacing w:after="0" w:afterLines="0" w:line="52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val="en-US" w:eastAsia="zh-CN"/>
        </w:rPr>
        <w:t>落实废水污染防治措施。本项目运营期生活污水排入园区污水管网，进入十二师</w:t>
      </w:r>
      <w:r>
        <w:rPr>
          <w:rFonts w:hint="eastAsia" w:eastAsia="仿宋_GB2312" w:cs="Times New Roman"/>
          <w:color w:val="auto"/>
          <w:sz w:val="32"/>
          <w:szCs w:val="32"/>
          <w:highlight w:val="none"/>
          <w:lang w:val="en-US" w:eastAsia="zh-CN"/>
        </w:rPr>
        <w:t>三坪新区</w:t>
      </w:r>
      <w:r>
        <w:rPr>
          <w:rFonts w:hint="default" w:ascii="Times New Roman" w:hAnsi="Times New Roman" w:eastAsia="仿宋_GB2312" w:cs="Times New Roman"/>
          <w:color w:val="auto"/>
          <w:sz w:val="32"/>
          <w:szCs w:val="32"/>
          <w:highlight w:val="none"/>
          <w:lang w:val="en-US" w:eastAsia="zh-CN"/>
        </w:rPr>
        <w:t>污水处理厂处理。满足《污水综合排放标准》（GB8978-1996）表4中三级排放标准。</w:t>
      </w:r>
    </w:p>
    <w:p w14:paraId="463A67B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lang w:val="en-US" w:eastAsia="zh-CN"/>
        </w:rPr>
        <w:t>（三）</w:t>
      </w:r>
      <w:r>
        <w:rPr>
          <w:rFonts w:hint="default" w:ascii="Times New Roman" w:hAnsi="Times New Roman" w:eastAsia="仿宋_GB2312" w:cs="Times New Roman"/>
          <w:color w:val="auto"/>
          <w:spacing w:val="0"/>
          <w:sz w:val="32"/>
          <w:szCs w:val="32"/>
          <w:highlight w:val="none"/>
          <w:u w:val="none" w:color="auto"/>
          <w:lang w:val="en-US" w:eastAsia="zh-CN"/>
        </w:rPr>
        <w:t>落实噪声污染防治措施</w:t>
      </w:r>
      <w:r>
        <w:rPr>
          <w:rFonts w:hint="eastAsia" w:eastAsia="仿宋_GB2312"/>
          <w:spacing w:val="-10"/>
          <w:sz w:val="32"/>
          <w:szCs w:val="32"/>
          <w:u w:val="none" w:color="000000"/>
        </w:rPr>
        <w:t>。本项目运营期噪声源主要为</w:t>
      </w:r>
      <w:r>
        <w:rPr>
          <w:rFonts w:hint="eastAsia" w:eastAsia="仿宋_GB2312"/>
          <w:spacing w:val="-10"/>
          <w:sz w:val="32"/>
          <w:szCs w:val="32"/>
          <w:u w:val="none" w:color="000000"/>
          <w:lang w:val="en-US" w:eastAsia="zh-CN"/>
        </w:rPr>
        <w:t>印刷机</w:t>
      </w:r>
      <w:r>
        <w:rPr>
          <w:rFonts w:hint="eastAsia" w:eastAsia="仿宋_GB2312"/>
          <w:spacing w:val="-10"/>
          <w:sz w:val="32"/>
          <w:szCs w:val="32"/>
          <w:u w:val="none" w:color="000000"/>
        </w:rPr>
        <w:t>、</w:t>
      </w:r>
      <w:r>
        <w:rPr>
          <w:rFonts w:hint="eastAsia" w:eastAsia="仿宋_GB2312"/>
          <w:spacing w:val="-10"/>
          <w:sz w:val="32"/>
          <w:szCs w:val="32"/>
          <w:u w:val="none" w:color="000000"/>
          <w:lang w:val="en-US" w:eastAsia="zh-CN"/>
        </w:rPr>
        <w:t>复合机</w:t>
      </w:r>
      <w:r>
        <w:rPr>
          <w:rFonts w:hint="eastAsia" w:eastAsia="仿宋_GB2312"/>
          <w:spacing w:val="-10"/>
          <w:sz w:val="32"/>
          <w:szCs w:val="32"/>
          <w:u w:val="none" w:color="000000"/>
        </w:rPr>
        <w:t>、</w:t>
      </w:r>
      <w:r>
        <w:rPr>
          <w:rFonts w:hint="eastAsia" w:eastAsia="仿宋_GB2312"/>
          <w:spacing w:val="-10"/>
          <w:sz w:val="32"/>
          <w:szCs w:val="32"/>
          <w:u w:val="none" w:color="000000"/>
          <w:lang w:val="en-US" w:eastAsia="zh-CN"/>
        </w:rPr>
        <w:t>覆膜机</w:t>
      </w:r>
      <w:r>
        <w:rPr>
          <w:rFonts w:hint="eastAsia" w:eastAsia="仿宋_GB2312"/>
          <w:spacing w:val="-10"/>
          <w:sz w:val="32"/>
          <w:szCs w:val="32"/>
          <w:u w:val="none" w:color="000000"/>
        </w:rPr>
        <w:t>等设备产生的机械噪声等。产噪设备均在厂房内布置，采取减</w:t>
      </w:r>
      <w:r>
        <w:rPr>
          <w:rFonts w:hint="eastAsia" w:eastAsia="仿宋_GB2312"/>
          <w:spacing w:val="-10"/>
          <w:sz w:val="32"/>
          <w:szCs w:val="32"/>
          <w:u w:val="none" w:color="000000"/>
          <w:lang w:val="en-US" w:eastAsia="zh-CN"/>
        </w:rPr>
        <w:t>振</w:t>
      </w:r>
      <w:r>
        <w:rPr>
          <w:rFonts w:hint="eastAsia" w:eastAsia="仿宋_GB2312"/>
          <w:spacing w:val="-10"/>
          <w:sz w:val="32"/>
          <w:szCs w:val="32"/>
          <w:u w:val="none" w:color="000000"/>
        </w:rPr>
        <w:t>、隔声等措施。</w:t>
      </w:r>
      <w:r>
        <w:rPr>
          <w:rFonts w:hint="default" w:ascii="Times New Roman" w:hAnsi="Times New Roman" w:eastAsia="仿宋_GB2312" w:cs="Times New Roman"/>
          <w:color w:val="auto"/>
          <w:spacing w:val="0"/>
          <w:sz w:val="32"/>
          <w:szCs w:val="32"/>
          <w:highlight w:val="none"/>
          <w:u w:val="none" w:color="auto"/>
          <w:lang w:val="en-US" w:eastAsia="zh-CN"/>
        </w:rPr>
        <w:t>满足《工业企业厂界环境噪声排放标准》（GB12348-2008）中的</w:t>
      </w:r>
      <w:r>
        <w:rPr>
          <w:rFonts w:hint="eastAsia" w:eastAsia="仿宋_GB2312" w:cs="Times New Roman"/>
          <w:color w:val="auto"/>
          <w:spacing w:val="0"/>
          <w:sz w:val="32"/>
          <w:szCs w:val="32"/>
          <w:highlight w:val="none"/>
          <w:u w:val="none" w:color="auto"/>
          <w:lang w:val="en-US" w:eastAsia="zh-CN"/>
        </w:rPr>
        <w:t>3</w:t>
      </w:r>
      <w:r>
        <w:rPr>
          <w:rFonts w:hint="default" w:ascii="Times New Roman" w:hAnsi="Times New Roman" w:eastAsia="仿宋_GB2312" w:cs="Times New Roman"/>
          <w:color w:val="auto"/>
          <w:spacing w:val="0"/>
          <w:sz w:val="32"/>
          <w:szCs w:val="32"/>
          <w:highlight w:val="none"/>
          <w:u w:val="none" w:color="auto"/>
          <w:lang w:val="en-US" w:eastAsia="zh-CN"/>
        </w:rPr>
        <w:t>类标准要求。</w:t>
      </w:r>
    </w:p>
    <w:p w14:paraId="118EE2E0">
      <w:pPr>
        <w:keepNext w:val="0"/>
        <w:keepLines w:val="0"/>
        <w:pageBreakBefore w:val="0"/>
        <w:kinsoku/>
        <w:wordWrap/>
        <w:overflowPunct/>
        <w:topLinePunct w:val="0"/>
        <w:autoSpaceDE/>
        <w:autoSpaceDN/>
        <w:bidi w:val="0"/>
        <w:snapToGrid/>
        <w:spacing w:line="52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（四）落实固废污染防治措施。本项目运营期废包装材料、废边角料，集中收集至一般固废暂存间，出售物资回收公司。生活垃圾集中收集至垃圾箱，由当地环卫部门统一清运处理。</w:t>
      </w:r>
    </w:p>
    <w:p w14:paraId="1A7C9FD0">
      <w:pPr>
        <w:keepNext w:val="0"/>
        <w:keepLines w:val="0"/>
        <w:pageBreakBefore w:val="0"/>
        <w:kinsoku/>
        <w:wordWrap/>
        <w:overflowPunct/>
        <w:topLinePunct w:val="0"/>
        <w:autoSpaceDE/>
        <w:autoSpaceDN/>
        <w:bidi w:val="0"/>
        <w:snapToGrid/>
        <w:spacing w:line="52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废活性炭、废油墨桶</w:t>
      </w:r>
      <w:r>
        <w:rPr>
          <w:rFonts w:hint="eastAsia"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废催化剂分区暂存于危废贮存间，定期交由有危险废物处置资质的单位处理。危废暂存间按照《危险废物贮存污染控制标准》（GB18597-2023）的要求建设。</w:t>
      </w:r>
    </w:p>
    <w:p w14:paraId="1FE3E4A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bCs/>
          <w:color w:val="auto"/>
          <w:kern w:val="2"/>
          <w:sz w:val="32"/>
          <w:szCs w:val="32"/>
          <w:u w:color="000000"/>
          <w:lang w:val="en-US" w:eastAsia="zh-CN" w:bidi="ar-SA"/>
        </w:rPr>
      </w:pPr>
      <w:r>
        <w:rPr>
          <w:rFonts w:hint="default" w:ascii="Times New Roman" w:hAnsi="Times New Roman" w:eastAsia="仿宋_GB2312" w:cs="Times New Roman"/>
          <w:bCs/>
          <w:color w:val="auto"/>
          <w:kern w:val="2"/>
          <w:sz w:val="32"/>
          <w:szCs w:val="32"/>
          <w:u w:color="000000"/>
          <w:lang w:val="en-US" w:eastAsia="zh-CN" w:bidi="ar-SA"/>
        </w:rPr>
        <w:t>（</w:t>
      </w:r>
      <w:r>
        <w:rPr>
          <w:rFonts w:hint="eastAsia" w:eastAsia="仿宋_GB2312" w:cs="Times New Roman"/>
          <w:bCs/>
          <w:color w:val="auto"/>
          <w:kern w:val="2"/>
          <w:sz w:val="32"/>
          <w:szCs w:val="32"/>
          <w:u w:color="000000"/>
          <w:lang w:val="en-US" w:eastAsia="zh-CN" w:bidi="ar-SA"/>
        </w:rPr>
        <w:t>五</w:t>
      </w:r>
      <w:r>
        <w:rPr>
          <w:rFonts w:hint="default" w:ascii="Times New Roman" w:hAnsi="Times New Roman" w:eastAsia="仿宋_GB2312" w:cs="Times New Roman"/>
          <w:bCs/>
          <w:color w:val="auto"/>
          <w:kern w:val="2"/>
          <w:sz w:val="32"/>
          <w:szCs w:val="32"/>
          <w:u w:color="000000"/>
          <w:lang w:val="en-US" w:eastAsia="zh-CN" w:bidi="ar-SA"/>
        </w:rPr>
        <w:t>）加强项目环境风险防范。建立严格的环境风险管理制度，认真落实报告</w:t>
      </w:r>
      <w:r>
        <w:rPr>
          <w:rFonts w:hint="eastAsia" w:eastAsia="仿宋_GB2312" w:cs="Times New Roman"/>
          <w:bCs/>
          <w:color w:val="auto"/>
          <w:kern w:val="2"/>
          <w:sz w:val="32"/>
          <w:szCs w:val="32"/>
          <w:u w:color="000000"/>
          <w:lang w:val="en-US" w:eastAsia="zh-CN" w:bidi="ar-SA"/>
        </w:rPr>
        <w:t>表</w:t>
      </w:r>
      <w:r>
        <w:rPr>
          <w:rFonts w:hint="default" w:ascii="Times New Roman" w:hAnsi="Times New Roman" w:eastAsia="仿宋_GB2312" w:cs="Times New Roman"/>
          <w:bCs/>
          <w:color w:val="auto"/>
          <w:kern w:val="2"/>
          <w:sz w:val="32"/>
          <w:szCs w:val="32"/>
          <w:u w:color="000000"/>
          <w:lang w:val="en-US" w:eastAsia="zh-CN" w:bidi="ar-SA"/>
        </w:rPr>
        <w:t>提出的各项风险防范措施；编制《突发环境事件应急预案》报生态环境主管部门备案，确保不发生环境污染事故；定期开展突发环境事件应急演练，及时对环境应急预案进行完善。</w:t>
      </w:r>
    </w:p>
    <w:p w14:paraId="65E801D0">
      <w:pPr>
        <w:pStyle w:val="3"/>
        <w:keepNext w:val="0"/>
        <w:keepLines w:val="0"/>
        <w:pageBreakBefore w:val="0"/>
        <w:kinsoku/>
        <w:wordWrap/>
        <w:overflowPunct/>
        <w:topLinePunct w:val="0"/>
        <w:bidi w:val="0"/>
        <w:spacing w:line="520" w:lineRule="exact"/>
        <w:ind w:firstLine="640" w:firstLineChars="200"/>
        <w:rPr>
          <w:rFonts w:hint="default" w:ascii="Times New Roman" w:hAnsi="Times New Roman" w:eastAsia="仿宋_GB2312" w:cs="Times New Roman"/>
          <w:bCs/>
          <w:color w:val="auto"/>
          <w:spacing w:val="0"/>
          <w:kern w:val="2"/>
          <w:sz w:val="32"/>
          <w:szCs w:val="32"/>
          <w:u w:color="000000"/>
          <w:lang w:val="en-US" w:eastAsia="zh-CN" w:bidi="ar-SA"/>
        </w:rPr>
      </w:pPr>
      <w:r>
        <w:rPr>
          <w:rFonts w:hint="default" w:ascii="Times New Roman" w:hAnsi="Times New Roman" w:eastAsia="仿宋_GB2312" w:cs="Times New Roman"/>
          <w:bCs/>
          <w:color w:val="auto"/>
          <w:spacing w:val="0"/>
          <w:kern w:val="2"/>
          <w:sz w:val="32"/>
          <w:szCs w:val="32"/>
          <w:u w:color="000000"/>
          <w:lang w:val="en-US" w:eastAsia="zh-CN" w:bidi="ar-SA"/>
        </w:rPr>
        <w:t>本项目总量控制指标为VOCs</w:t>
      </w:r>
      <w:r>
        <w:rPr>
          <w:rFonts w:hint="eastAsia" w:ascii="Times New Roman" w:hAnsi="Times New Roman" w:cs="Times New Roman"/>
          <w:bCs/>
          <w:color w:val="auto"/>
          <w:spacing w:val="0"/>
          <w:kern w:val="2"/>
          <w:sz w:val="32"/>
          <w:szCs w:val="32"/>
          <w:u w:color="000000"/>
          <w:lang w:val="en-US" w:eastAsia="zh-CN" w:bidi="ar-SA"/>
        </w:rPr>
        <w:t>：</w:t>
      </w:r>
      <w:r>
        <w:rPr>
          <w:rFonts w:hint="eastAsia" w:ascii="Times New Roman" w:cs="Times New Roman"/>
          <w:bCs/>
          <w:color w:val="auto"/>
          <w:spacing w:val="0"/>
          <w:kern w:val="2"/>
          <w:sz w:val="32"/>
          <w:szCs w:val="32"/>
          <w:u w:color="000000"/>
          <w:lang w:val="en-US" w:eastAsia="zh-CN" w:bidi="ar-SA"/>
        </w:rPr>
        <w:t>0.0396</w:t>
      </w:r>
      <w:r>
        <w:rPr>
          <w:rFonts w:hint="default" w:ascii="Times New Roman" w:hAnsi="Times New Roman" w:eastAsia="仿宋_GB2312" w:cs="Times New Roman"/>
          <w:bCs/>
          <w:color w:val="auto"/>
          <w:spacing w:val="0"/>
          <w:kern w:val="2"/>
          <w:sz w:val="32"/>
          <w:szCs w:val="32"/>
          <w:u w:color="000000"/>
          <w:lang w:val="en-US" w:eastAsia="zh-CN" w:bidi="ar-SA"/>
        </w:rPr>
        <w:t>吨/年。</w:t>
      </w:r>
    </w:p>
    <w:p w14:paraId="6FF619D3">
      <w:pPr>
        <w:keepNext w:val="0"/>
        <w:keepLines w:val="0"/>
        <w:pageBreakBefore w:val="0"/>
        <w:kinsoku/>
        <w:wordWrap/>
        <w:overflowPunct/>
        <w:topLinePunct w:val="0"/>
        <w:autoSpaceDE/>
        <w:autoSpaceDN/>
        <w:bidi w:val="0"/>
        <w:snapToGrid/>
        <w:spacing w:line="52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项目建设应严格执行配套建设的环境保护设施与主体工程同时设计、同时施工、同时投产使用的“三同时”制度。环境影响报告表批准后，项目的性质、规模、地点或生态保护、污染防治措施发生重大变动的，应当按要求重新报批环境影响评价文件。自批准之日起超过5年方决定该项目开工建设的，其环评文件应当报我局重新审核。项目竣工后正式运营前，根据《排污许可管理条例》依法办理排污许可手续，并对配套建设的环境保护设施进行验收，经验收合格后，项目方可投入运行。</w:t>
      </w:r>
    </w:p>
    <w:p w14:paraId="2EC11EB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lang w:val="en-US" w:eastAsia="zh-CN"/>
        </w:rPr>
        <w:t>、十二师生态环境保护综合行政执法支队和项目所属辖区环境管理部门负责“三同时”监督检查和日常监管工作。你单位应在收到本批复20个工作日内，将批准后的环境影响报告表及批复分送以上监督管理机构，并按规定接受监督检查。</w:t>
      </w:r>
      <w:bookmarkStart w:id="0" w:name="_GoBack"/>
      <w:bookmarkEnd w:id="0"/>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DE8374D5-543C-4E6E-ADA9-50B95EF0EE7F}"/>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embedRegular r:id="rId2" w:fontKey="{2DB25BC9-034F-422D-AD07-AE24000E87A8}"/>
  </w:font>
  <w:font w:name="WPSEMBED3">
    <w:panose1 w:val="02010609030101010101"/>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C3E2A">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57C9A">
                          <w:pPr>
                            <w:pStyle w:val="11"/>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C57C9A">
                    <w:pPr>
                      <w:pStyle w:val="11"/>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243479"/>
    <w:multiLevelType w:val="multilevel"/>
    <w:tmpl w:val="98243479"/>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pStyle w:val="5"/>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4B6B1761"/>
    <w:multiLevelType w:val="singleLevel"/>
    <w:tmpl w:val="4B6B1761"/>
    <w:lvl w:ilvl="0" w:tentative="0">
      <w:start w:val="1"/>
      <w:numFmt w:val="bullet"/>
      <w:pStyle w:val="9"/>
      <w:lvlText w:val=""/>
      <w:lvlJc w:val="left"/>
      <w:pPr>
        <w:tabs>
          <w:tab w:val="left" w:pos="2040"/>
        </w:tabs>
        <w:ind w:left="204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Y2U3ODBlY2MzNDk5YmZlMmU4ZDNlYTA3MjRjNjYifQ=="/>
    <w:docVar w:name="KSO_WPS_MARK_KEY" w:val="78d1c1cb-527e-4026-8f9a-c7cbb82ce8a0"/>
  </w:docVars>
  <w:rsids>
    <w:rsidRoot w:val="209C6FB6"/>
    <w:rsid w:val="000B7C11"/>
    <w:rsid w:val="003B507B"/>
    <w:rsid w:val="01954E03"/>
    <w:rsid w:val="02A5264F"/>
    <w:rsid w:val="0303427A"/>
    <w:rsid w:val="03343D40"/>
    <w:rsid w:val="036B03E5"/>
    <w:rsid w:val="03B818B8"/>
    <w:rsid w:val="0418546F"/>
    <w:rsid w:val="0431202E"/>
    <w:rsid w:val="04343F9F"/>
    <w:rsid w:val="049F51EA"/>
    <w:rsid w:val="04B54A0D"/>
    <w:rsid w:val="04B930B4"/>
    <w:rsid w:val="053613BF"/>
    <w:rsid w:val="073B0880"/>
    <w:rsid w:val="07592C22"/>
    <w:rsid w:val="076E74DB"/>
    <w:rsid w:val="07DD39B1"/>
    <w:rsid w:val="09A65D5E"/>
    <w:rsid w:val="0A010824"/>
    <w:rsid w:val="0A300945"/>
    <w:rsid w:val="0BC57258"/>
    <w:rsid w:val="0BDF05C2"/>
    <w:rsid w:val="0C211C5A"/>
    <w:rsid w:val="0DA67DA3"/>
    <w:rsid w:val="0DC736EF"/>
    <w:rsid w:val="0DE620DB"/>
    <w:rsid w:val="0E3A5F83"/>
    <w:rsid w:val="0E9B4DA8"/>
    <w:rsid w:val="0EA801FA"/>
    <w:rsid w:val="0F355C67"/>
    <w:rsid w:val="10705587"/>
    <w:rsid w:val="10A4745D"/>
    <w:rsid w:val="110E093A"/>
    <w:rsid w:val="1130362F"/>
    <w:rsid w:val="12404419"/>
    <w:rsid w:val="12C64D9E"/>
    <w:rsid w:val="132F6CC0"/>
    <w:rsid w:val="1483206F"/>
    <w:rsid w:val="14FD529D"/>
    <w:rsid w:val="152E726E"/>
    <w:rsid w:val="15447BCF"/>
    <w:rsid w:val="15B71C1A"/>
    <w:rsid w:val="16362036"/>
    <w:rsid w:val="16C74961"/>
    <w:rsid w:val="17712A16"/>
    <w:rsid w:val="17FD79ED"/>
    <w:rsid w:val="184A2555"/>
    <w:rsid w:val="185B5474"/>
    <w:rsid w:val="1A1B029D"/>
    <w:rsid w:val="1B616AD1"/>
    <w:rsid w:val="1BA54230"/>
    <w:rsid w:val="1BDC1A17"/>
    <w:rsid w:val="1C461DE1"/>
    <w:rsid w:val="1CAE56BC"/>
    <w:rsid w:val="1CE957F4"/>
    <w:rsid w:val="1D37451A"/>
    <w:rsid w:val="1E3D7AF5"/>
    <w:rsid w:val="1EDF0A99"/>
    <w:rsid w:val="1F6B0692"/>
    <w:rsid w:val="1F811721"/>
    <w:rsid w:val="1F8F686F"/>
    <w:rsid w:val="1FC030C2"/>
    <w:rsid w:val="20186416"/>
    <w:rsid w:val="20232162"/>
    <w:rsid w:val="20920B1E"/>
    <w:rsid w:val="209C6FB6"/>
    <w:rsid w:val="21A71CFD"/>
    <w:rsid w:val="21EE2624"/>
    <w:rsid w:val="222050E0"/>
    <w:rsid w:val="22FC519D"/>
    <w:rsid w:val="23D77FA4"/>
    <w:rsid w:val="24197569"/>
    <w:rsid w:val="24DF43F3"/>
    <w:rsid w:val="277C3179"/>
    <w:rsid w:val="27A72484"/>
    <w:rsid w:val="27B950AC"/>
    <w:rsid w:val="27D77E95"/>
    <w:rsid w:val="28B30D34"/>
    <w:rsid w:val="2A043D84"/>
    <w:rsid w:val="2A3D5940"/>
    <w:rsid w:val="2A9A61BF"/>
    <w:rsid w:val="2BB20A80"/>
    <w:rsid w:val="2C526A72"/>
    <w:rsid w:val="2C6F3531"/>
    <w:rsid w:val="2D473EFE"/>
    <w:rsid w:val="2E1413FF"/>
    <w:rsid w:val="2E2928EF"/>
    <w:rsid w:val="31C250C8"/>
    <w:rsid w:val="323B7709"/>
    <w:rsid w:val="32CB48A0"/>
    <w:rsid w:val="33C66FC5"/>
    <w:rsid w:val="342D0001"/>
    <w:rsid w:val="35377AB9"/>
    <w:rsid w:val="353B1465"/>
    <w:rsid w:val="35796375"/>
    <w:rsid w:val="36356EAC"/>
    <w:rsid w:val="37130FE3"/>
    <w:rsid w:val="37360960"/>
    <w:rsid w:val="378857B3"/>
    <w:rsid w:val="378C012D"/>
    <w:rsid w:val="37982D8A"/>
    <w:rsid w:val="37ED6CAA"/>
    <w:rsid w:val="38421659"/>
    <w:rsid w:val="394207DB"/>
    <w:rsid w:val="3A157721"/>
    <w:rsid w:val="3A1B478A"/>
    <w:rsid w:val="3A7A6DCD"/>
    <w:rsid w:val="3B56320E"/>
    <w:rsid w:val="3B702097"/>
    <w:rsid w:val="3C457435"/>
    <w:rsid w:val="3CD13EDB"/>
    <w:rsid w:val="3E407CE8"/>
    <w:rsid w:val="3EFC3218"/>
    <w:rsid w:val="408D1F7C"/>
    <w:rsid w:val="409F2D25"/>
    <w:rsid w:val="41481ED3"/>
    <w:rsid w:val="42141B9B"/>
    <w:rsid w:val="426A7BCE"/>
    <w:rsid w:val="43611640"/>
    <w:rsid w:val="43CD2D93"/>
    <w:rsid w:val="440C3582"/>
    <w:rsid w:val="448434D9"/>
    <w:rsid w:val="44A662DE"/>
    <w:rsid w:val="457C4008"/>
    <w:rsid w:val="46821C9A"/>
    <w:rsid w:val="46C40A3A"/>
    <w:rsid w:val="4735463A"/>
    <w:rsid w:val="47A05AAA"/>
    <w:rsid w:val="483671E0"/>
    <w:rsid w:val="494C3228"/>
    <w:rsid w:val="496F3E8B"/>
    <w:rsid w:val="4AEF475E"/>
    <w:rsid w:val="4B3B3D3D"/>
    <w:rsid w:val="4BE97E19"/>
    <w:rsid w:val="4C1D505D"/>
    <w:rsid w:val="4C935F3D"/>
    <w:rsid w:val="4CB30DFF"/>
    <w:rsid w:val="4CCC0113"/>
    <w:rsid w:val="4E497B5F"/>
    <w:rsid w:val="4EE6170D"/>
    <w:rsid w:val="51A62C6F"/>
    <w:rsid w:val="51E8156B"/>
    <w:rsid w:val="522C7607"/>
    <w:rsid w:val="550B1D3D"/>
    <w:rsid w:val="559F61B5"/>
    <w:rsid w:val="56466840"/>
    <w:rsid w:val="56982E14"/>
    <w:rsid w:val="573617D2"/>
    <w:rsid w:val="578034B6"/>
    <w:rsid w:val="57FD08D3"/>
    <w:rsid w:val="58635A95"/>
    <w:rsid w:val="58AC6A92"/>
    <w:rsid w:val="5902641E"/>
    <w:rsid w:val="5A0C7A0D"/>
    <w:rsid w:val="5B107A78"/>
    <w:rsid w:val="5B5201FC"/>
    <w:rsid w:val="5C9556DA"/>
    <w:rsid w:val="5CB5471F"/>
    <w:rsid w:val="5CE96177"/>
    <w:rsid w:val="5D4B0BE0"/>
    <w:rsid w:val="5D975035"/>
    <w:rsid w:val="5E8667BF"/>
    <w:rsid w:val="5F0A7158"/>
    <w:rsid w:val="5FA01104"/>
    <w:rsid w:val="616B35FF"/>
    <w:rsid w:val="61ED1CAB"/>
    <w:rsid w:val="632C5E80"/>
    <w:rsid w:val="633839B4"/>
    <w:rsid w:val="637F05E7"/>
    <w:rsid w:val="63E1404C"/>
    <w:rsid w:val="6436423C"/>
    <w:rsid w:val="646B3552"/>
    <w:rsid w:val="649C215B"/>
    <w:rsid w:val="652303E3"/>
    <w:rsid w:val="668C7E5F"/>
    <w:rsid w:val="678A222B"/>
    <w:rsid w:val="67D113D6"/>
    <w:rsid w:val="67E956CD"/>
    <w:rsid w:val="68A87B77"/>
    <w:rsid w:val="68D922DD"/>
    <w:rsid w:val="69E6594B"/>
    <w:rsid w:val="69ED55BD"/>
    <w:rsid w:val="6A9A30D8"/>
    <w:rsid w:val="6AB26975"/>
    <w:rsid w:val="6AE544EF"/>
    <w:rsid w:val="6B923E7E"/>
    <w:rsid w:val="6C9C3206"/>
    <w:rsid w:val="6CF32868"/>
    <w:rsid w:val="6D1A3FF7"/>
    <w:rsid w:val="6DD8026E"/>
    <w:rsid w:val="6F72024E"/>
    <w:rsid w:val="6FFE1AE2"/>
    <w:rsid w:val="723E2669"/>
    <w:rsid w:val="738C16D6"/>
    <w:rsid w:val="73BC2374"/>
    <w:rsid w:val="740718AD"/>
    <w:rsid w:val="743374C1"/>
    <w:rsid w:val="74E42CE2"/>
    <w:rsid w:val="75114B05"/>
    <w:rsid w:val="755C6E6D"/>
    <w:rsid w:val="76123086"/>
    <w:rsid w:val="7666465D"/>
    <w:rsid w:val="76F8372F"/>
    <w:rsid w:val="77B016F4"/>
    <w:rsid w:val="77CC387B"/>
    <w:rsid w:val="77EA1CD8"/>
    <w:rsid w:val="797B56E2"/>
    <w:rsid w:val="79A4094F"/>
    <w:rsid w:val="7AAB3520"/>
    <w:rsid w:val="7C555D07"/>
    <w:rsid w:val="7C7F037E"/>
    <w:rsid w:val="7D663E95"/>
    <w:rsid w:val="7DF671D6"/>
    <w:rsid w:val="7E2E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9"/>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4">
    <w:name w:val="heading 3"/>
    <w:basedOn w:val="1"/>
    <w:next w:val="1"/>
    <w:qFormat/>
    <w:uiPriority w:val="0"/>
    <w:pPr>
      <w:keepNext/>
      <w:keepLines/>
      <w:spacing w:line="360" w:lineRule="auto"/>
      <w:outlineLvl w:val="2"/>
    </w:pPr>
    <w:rPr>
      <w:b/>
      <w:bCs/>
      <w:sz w:val="24"/>
      <w:szCs w:val="32"/>
    </w:rPr>
  </w:style>
  <w:style w:type="paragraph" w:styleId="5">
    <w:name w:val="heading 5"/>
    <w:basedOn w:val="1"/>
    <w:next w:val="1"/>
    <w:unhideWhenUsed/>
    <w:qFormat/>
    <w:uiPriority w:val="9"/>
    <w:pPr>
      <w:keepNext/>
      <w:keepLines/>
      <w:numPr>
        <w:ilvl w:val="4"/>
        <w:numId w:val="1"/>
      </w:numPr>
      <w:spacing w:before="50" w:beforeLines="50"/>
      <w:outlineLvl w:val="4"/>
    </w:p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style>
  <w:style w:type="paragraph" w:styleId="3">
    <w:name w:val="Body Text"/>
    <w:basedOn w:val="1"/>
    <w:next w:val="1"/>
    <w:qFormat/>
    <w:uiPriority w:val="99"/>
    <w:pPr>
      <w:autoSpaceDE w:val="0"/>
      <w:autoSpaceDN w:val="0"/>
      <w:adjustRightInd w:val="0"/>
      <w:snapToGrid w:val="0"/>
      <w:spacing w:line="580" w:lineRule="exact"/>
      <w:textAlignment w:val="baseline"/>
    </w:pPr>
    <w:rPr>
      <w:rFonts w:ascii="仿宋_GB2312" w:eastAsia="仿宋_GB2312"/>
      <w:spacing w:val="-20"/>
      <w:kern w:val="0"/>
      <w:sz w:val="32"/>
      <w:szCs w:val="20"/>
    </w:rPr>
  </w:style>
  <w:style w:type="paragraph" w:styleId="6">
    <w:name w:val="Normal Indent"/>
    <w:basedOn w:val="1"/>
    <w:next w:val="1"/>
    <w:qFormat/>
    <w:uiPriority w:val="0"/>
    <w:pPr>
      <w:ind w:firstLine="420"/>
    </w:pPr>
  </w:style>
  <w:style w:type="paragraph" w:styleId="7">
    <w:name w:val="annotation text"/>
    <w:basedOn w:val="1"/>
    <w:qFormat/>
    <w:uiPriority w:val="0"/>
    <w:pPr>
      <w:jc w:val="left"/>
    </w:pPr>
  </w:style>
  <w:style w:type="paragraph" w:styleId="8">
    <w:name w:val="Body Text Indent"/>
    <w:basedOn w:val="1"/>
    <w:next w:val="3"/>
    <w:qFormat/>
    <w:uiPriority w:val="0"/>
    <w:pPr>
      <w:spacing w:after="120" w:afterLines="0" w:afterAutospacing="0"/>
      <w:ind w:left="420" w:leftChars="200"/>
    </w:pPr>
  </w:style>
  <w:style w:type="paragraph" w:styleId="9">
    <w:name w:val="List Bullet 5"/>
    <w:basedOn w:val="1"/>
    <w:qFormat/>
    <w:uiPriority w:val="0"/>
    <w:pPr>
      <w:numPr>
        <w:ilvl w:val="0"/>
        <w:numId w:val="2"/>
      </w:numPr>
    </w:pPr>
  </w:style>
  <w:style w:type="paragraph" w:styleId="10">
    <w:name w:val="Body Text Indent 2"/>
    <w:basedOn w:val="1"/>
    <w:qFormat/>
    <w:uiPriority w:val="0"/>
    <w:pPr>
      <w:snapToGrid w:val="0"/>
      <w:spacing w:line="420" w:lineRule="exact"/>
      <w:ind w:firstLine="480"/>
    </w:pPr>
    <w:rPr>
      <w:sz w:val="24"/>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able of figures"/>
    <w:basedOn w:val="1"/>
    <w:next w:val="1"/>
    <w:qFormat/>
    <w:uiPriority w:val="0"/>
    <w:pPr>
      <w:autoSpaceDE w:val="0"/>
      <w:autoSpaceDN w:val="0"/>
      <w:spacing w:line="240" w:lineRule="auto"/>
      <w:ind w:firstLine="0" w:firstLineChars="0"/>
      <w:jc w:val="center"/>
    </w:pPr>
    <w:rPr>
      <w:b/>
      <w:bCs/>
      <w:iCs/>
    </w:rPr>
  </w:style>
  <w:style w:type="paragraph" w:styleId="14">
    <w:name w:val="Body Text First Indent 2"/>
    <w:basedOn w:val="8"/>
    <w:next w:val="1"/>
    <w:qFormat/>
    <w:uiPriority w:val="0"/>
    <w:pPr>
      <w:ind w:firstLine="420" w:firstLineChars="200"/>
    </w:p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样式 首行缩进:  2 字符1"/>
    <w:basedOn w:val="1"/>
    <w:qFormat/>
    <w:uiPriority w:val="0"/>
    <w:pPr>
      <w:spacing w:before="120" w:line="400" w:lineRule="exact"/>
      <w:ind w:firstLine="200" w:firstLineChars="200"/>
    </w:pPr>
    <w:rPr>
      <w:sz w:val="24"/>
      <w:szCs w:val="20"/>
    </w:rPr>
  </w:style>
  <w:style w:type="paragraph" w:customStyle="1" w:styleId="19">
    <w:name w:val="Default"/>
    <w:basedOn w:val="20"/>
    <w:next w:val="1"/>
    <w:qFormat/>
    <w:uiPriority w:val="0"/>
    <w:pPr>
      <w:widowControl w:val="0"/>
      <w:tabs>
        <w:tab w:val="left" w:pos="1845"/>
      </w:tabs>
      <w:autoSpaceDE w:val="0"/>
      <w:autoSpaceDN w:val="0"/>
      <w:adjustRightInd w:val="0"/>
    </w:pPr>
    <w:rPr>
      <w:rFonts w:ascii="宋体" w:cs="宋体"/>
      <w:color w:val="000000"/>
      <w:sz w:val="24"/>
      <w:szCs w:val="24"/>
      <w:lang w:val="en-US" w:eastAsia="zh-CN" w:bidi="ar-SA"/>
    </w:rPr>
  </w:style>
  <w:style w:type="paragraph" w:customStyle="1" w:styleId="20">
    <w:name w:val="纯文本1"/>
    <w:basedOn w:val="1"/>
    <w:qFormat/>
    <w:uiPriority w:val="0"/>
    <w:pPr>
      <w:tabs>
        <w:tab w:val="left" w:pos="1845"/>
      </w:tabs>
      <w:spacing w:line="240" w:lineRule="exact"/>
      <w:jc w:val="center"/>
    </w:pPr>
    <w:rPr>
      <w:sz w:val="18"/>
    </w:rPr>
  </w:style>
  <w:style w:type="paragraph" w:customStyle="1" w:styleId="21">
    <w:name w:val="样式 样式 样式 四号 左侧:  1.53 厘米 + 首行缩进:  2 字符 + 居中 左侧:  2 字符 首行缩进:  2..."/>
    <w:basedOn w:val="1"/>
    <w:qFormat/>
    <w:uiPriority w:val="0"/>
    <w:pPr>
      <w:adjustRightInd w:val="0"/>
      <w:spacing w:line="240" w:lineRule="auto"/>
      <w:ind w:left="200" w:leftChars="200" w:firstLine="0" w:firstLineChars="0"/>
      <w:jc w:val="center"/>
    </w:pPr>
    <w:rPr>
      <w:rFonts w:ascii="Calibri" w:hAnsi="Calibri" w:cs="宋体"/>
      <w:w w:val="90"/>
      <w:sz w:val="28"/>
      <w:szCs w:val="20"/>
    </w:rPr>
  </w:style>
  <w:style w:type="paragraph" w:customStyle="1" w:styleId="22">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23">
    <w:name w:val="xl27"/>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pPr>
    <w:rPr>
      <w:rFonts w:ascii="Arial Unicode MS" w:hAnsi="Arial Unicode MS" w:eastAsia="Arial Unicode MS" w:cs="Arial Unicode MS"/>
      <w:sz w:val="18"/>
      <w:szCs w:val="18"/>
    </w:rPr>
  </w:style>
  <w:style w:type="paragraph" w:customStyle="1" w:styleId="24">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25">
    <w:name w:val="样式5"/>
    <w:basedOn w:val="6"/>
    <w:qFormat/>
    <w:uiPriority w:val="0"/>
    <w:pPr>
      <w:snapToGrid w:val="0"/>
      <w:spacing w:before="62" w:beforeLines="20" w:after="62" w:afterLines="20" w:line="480" w:lineRule="exact"/>
      <w:ind w:firstLine="523" w:firstLineChars="218"/>
      <w:jc w:val="both"/>
    </w:pPr>
    <w:rPr>
      <w:i/>
      <w:iCs/>
      <w:kern w:val="2"/>
      <w:sz w:val="24"/>
      <w:szCs w:val="20"/>
    </w:rPr>
  </w:style>
  <w:style w:type="paragraph" w:customStyle="1" w:styleId="26">
    <w:name w:val="正文(首行缩进)"/>
    <w:basedOn w:val="1"/>
    <w:next w:val="1"/>
    <w:qFormat/>
    <w:uiPriority w:val="0"/>
    <w:pPr>
      <w:spacing w:line="360" w:lineRule="auto"/>
      <w:ind w:firstLine="540" w:firstLineChars="225"/>
    </w:pPr>
    <w:rPr>
      <w:snapToGrid w:val="0"/>
      <w:color w:val="000000"/>
      <w:sz w:val="24"/>
      <w:szCs w:val="24"/>
    </w:rPr>
  </w:style>
  <w:style w:type="paragraph" w:customStyle="1" w:styleId="27">
    <w:name w:val="Normal Indent1"/>
    <w:basedOn w:val="1"/>
    <w:qFormat/>
    <w:uiPriority w:val="0"/>
    <w:pPr>
      <w:ind w:firstLine="420" w:firstLineChars="200"/>
    </w:pPr>
  </w:style>
  <w:style w:type="paragraph" w:customStyle="1" w:styleId="28">
    <w:name w:val="BodyText"/>
    <w:basedOn w:val="1"/>
    <w:qFormat/>
    <w:uiPriority w:val="0"/>
    <w:pPr>
      <w:spacing w:after="120"/>
      <w:jc w:val="both"/>
      <w:textAlignment w:val="baseline"/>
    </w:pPr>
  </w:style>
  <w:style w:type="character" w:customStyle="1" w:styleId="29">
    <w:name w:val="NormalCharacter"/>
    <w:link w:val="1"/>
    <w:semiHidden/>
    <w:qFormat/>
    <w:uiPriority w:val="0"/>
    <w:rPr>
      <w:rFonts w:ascii="Times New Roman" w:hAnsi="Times New Roman" w:eastAsia="宋体" w:cstheme="minorBidi"/>
      <w:kern w:val="2"/>
      <w:sz w:val="21"/>
      <w:szCs w:val="24"/>
      <w:lang w:val="en-US" w:eastAsia="zh-CN" w:bidi="ar-SA"/>
    </w:rPr>
  </w:style>
  <w:style w:type="paragraph" w:customStyle="1" w:styleId="30">
    <w:name w:val="UserStyle_4"/>
    <w:basedOn w:val="1"/>
    <w:qFormat/>
    <w:uiPriority w:val="0"/>
    <w:pPr>
      <w:ind w:left="200" w:leftChars="200" w:firstLine="200" w:firstLineChars="200"/>
      <w:jc w:val="both"/>
      <w:textAlignment w:val="baseline"/>
    </w:pPr>
    <w:rPr>
      <w:rFonts w:ascii="宋体" w:hAnsi="宋体"/>
      <w:color w:val="000000"/>
      <w:kern w:val="2"/>
      <w:sz w:val="32"/>
      <w:szCs w:val="32"/>
      <w:lang w:val="en-US" w:eastAsia="zh-CN" w:bidi="ar-SA"/>
    </w:rPr>
  </w:style>
  <w:style w:type="paragraph" w:customStyle="1" w:styleId="31">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宋体" w:cs="Arial Unicode MS"/>
      <w:color w:val="000000"/>
      <w:kern w:val="2"/>
      <w:sz w:val="21"/>
      <w:szCs w:val="21"/>
      <w:u w:val="none" w:color="000000"/>
      <w:lang w:val="en-US" w:eastAsia="zh-CN" w:bidi="ar-SA"/>
    </w:rPr>
  </w:style>
  <w:style w:type="paragraph" w:customStyle="1" w:styleId="32">
    <w:name w:val="报告1"/>
    <w:basedOn w:val="1"/>
    <w:qFormat/>
    <w:uiPriority w:val="0"/>
    <w:pPr>
      <w:adjustRightInd w:val="0"/>
      <w:spacing w:line="360" w:lineRule="auto"/>
      <w:ind w:firstLine="505"/>
      <w:jc w:val="left"/>
      <w:textAlignment w:val="baseline"/>
    </w:pPr>
    <w:rPr>
      <w:kern w:val="0"/>
      <w:sz w:val="24"/>
    </w:rPr>
  </w:style>
  <w:style w:type="paragraph" w:customStyle="1" w:styleId="33">
    <w:name w:val="A正文"/>
    <w:basedOn w:val="1"/>
    <w:qFormat/>
    <w:uiPriority w:val="0"/>
    <w:pPr>
      <w:spacing w:line="560" w:lineRule="exact"/>
      <w:ind w:firstLine="599" w:firstLineChars="200"/>
    </w:pPr>
    <w:rPr>
      <w:rFonts w:ascii="仿宋_GB2312" w:hAnsi="仿宋_GB2312" w:eastAsia="仿宋_GB2312" w:cs="Times New Roman"/>
      <w:bCs/>
      <w:spacing w:val="-8"/>
      <w:sz w:val="32"/>
      <w:szCs w:val="32"/>
    </w:rPr>
  </w:style>
  <w:style w:type="paragraph" w:customStyle="1" w:styleId="3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1664</Words>
  <Characters>1801</Characters>
  <Lines>0</Lines>
  <Paragraphs>0</Paragraphs>
  <TotalTime>1</TotalTime>
  <ScaleCrop>false</ScaleCrop>
  <LinksUpToDate>false</LinksUpToDate>
  <CharactersWithSpaces>1886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2023-03-31T08:28:00Z</dcterms:created>
  <dc:creator>Lenovo1</dc:creator>
  <cp:lastModifiedBy>Krismileˇ~</cp:lastModifiedBy>
  <cp:lastPrinted>2026-06-24T11:14:00Z</cp:lastPrinted>
  <dcterms:modified xsi:type="dcterms:W3CDTF">2026-07-17T04:48:12Z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C54E59B2758C4297A27F740B464F6894_13</vt:lpwstr>
  </property>
  <property fmtid="{D5CDD505-2E9C-101B-9397-08002B2CF9AE}" pid="4" name="KSOTemplateDocerSaveRecord">
    <vt:lpwstr>eyJoZGlkIjoiOTA3YWNiNGY5NTYwYmI5ZWExYmVjZmZhYzE1YmNiMmUiLCJ1c2VySWQiOiI0NDQ3ODQwNzcifQ==</vt:lpwstr>
  </property>
</Properties>
</file>