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3EBE6">
      <w:pPr>
        <w:keepNext w:val="0"/>
        <w:keepLines w:val="0"/>
        <w:pageBreakBefore w:val="0"/>
        <w:widowControl w:val="0"/>
        <w:shd w:val="clear" w:color="auto" w:fill="auto"/>
        <w:kinsoku/>
        <w:wordWrap/>
        <w:overflowPunct/>
        <w:topLinePunct w:val="0"/>
        <w:autoSpaceDE/>
        <w:autoSpaceDN/>
        <w:bidi w:val="0"/>
        <w:adjustRightInd/>
        <w:snapToGrid/>
        <w:spacing w:before="0" w:after="0" w:line="200" w:lineRule="atLeast"/>
        <w:ind w:left="0" w:leftChars="0" w:right="0" w:rightChars="0" w:firstLine="0" w:firstLineChars="0"/>
        <w:jc w:val="both"/>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附件</w:t>
      </w:r>
    </w:p>
    <w:p w14:paraId="5FEC93A3">
      <w:pPr>
        <w:keepNext w:val="0"/>
        <w:keepLines w:val="0"/>
        <w:pageBreakBefore w:val="0"/>
        <w:widowControl w:val="0"/>
        <w:shd w:val="clear" w:color="auto" w:fill="auto"/>
        <w:kinsoku/>
        <w:wordWrap/>
        <w:overflowPunct/>
        <w:topLinePunct w:val="0"/>
        <w:autoSpaceDE/>
        <w:autoSpaceDN/>
        <w:bidi w:val="0"/>
        <w:adjustRightInd/>
        <w:snapToGrid/>
        <w:spacing w:before="0" w:after="0" w:line="200" w:lineRule="atLeast"/>
        <w:ind w:left="0" w:leftChars="0" w:right="0" w:rightChars="0" w:firstLine="0" w:firstLineChars="0"/>
        <w:jc w:val="center"/>
        <w:textAlignment w:val="auto"/>
        <w:rPr>
          <w:rFonts w:hint="eastAsia" w:ascii="方正小标宋简体" w:hAnsi="方正小标宋简体" w:eastAsia="方正小标宋简体" w:cs="方正小标宋简体"/>
          <w:b w:val="0"/>
          <w:bCs w:val="0"/>
          <w:color w:val="000000"/>
          <w:spacing w:val="0"/>
          <w:w w:val="100"/>
          <w:kern w:val="0"/>
          <w:position w:val="0"/>
          <w:sz w:val="44"/>
          <w:szCs w:val="44"/>
          <w:shd w:val="clear" w:color="auto" w:fill="auto"/>
          <w:lang w:val="en-US" w:eastAsia="zh-CN" w:bidi="en-US"/>
        </w:rPr>
      </w:pPr>
      <w:r>
        <w:rPr>
          <w:rFonts w:hint="eastAsia" w:ascii="方正小标宋简体" w:hAnsi="方正小标宋简体" w:eastAsia="方正小标宋简体" w:cs="方正小标宋简体"/>
          <w:b w:val="0"/>
          <w:bCs w:val="0"/>
          <w:color w:val="000000"/>
          <w:spacing w:val="0"/>
          <w:w w:val="100"/>
          <w:kern w:val="0"/>
          <w:position w:val="0"/>
          <w:sz w:val="44"/>
          <w:szCs w:val="44"/>
          <w:shd w:val="clear" w:color="auto" w:fill="auto"/>
          <w:lang w:val="en-US" w:eastAsia="zh-CN" w:bidi="en-US"/>
        </w:rPr>
        <w:t>流动儿童在居住地享有关爱服务基础清单</w:t>
      </w:r>
    </w:p>
    <w:tbl>
      <w:tblPr>
        <w:tblStyle w:val="6"/>
        <w:tblW w:w="14806" w:type="dxa"/>
        <w:tblInd w:w="-8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
        <w:gridCol w:w="583"/>
        <w:gridCol w:w="1853"/>
        <w:gridCol w:w="1712"/>
        <w:gridCol w:w="6564"/>
        <w:gridCol w:w="3000"/>
      </w:tblGrid>
      <w:tr w14:paraId="46F1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094" w:type="dxa"/>
            <w:noWrap w:val="0"/>
            <w:vAlign w:val="center"/>
          </w:tcPr>
          <w:p w14:paraId="61A3183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30FF548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853" w:type="dxa"/>
            <w:noWrap w:val="0"/>
            <w:vAlign w:val="center"/>
          </w:tcPr>
          <w:p w14:paraId="1D35F04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服务对象</w:t>
            </w:r>
          </w:p>
        </w:tc>
        <w:tc>
          <w:tcPr>
            <w:tcW w:w="1712" w:type="dxa"/>
            <w:noWrap w:val="0"/>
            <w:vAlign w:val="center"/>
          </w:tcPr>
          <w:p w14:paraId="1E8E5D1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服务项目</w:t>
            </w:r>
          </w:p>
        </w:tc>
        <w:tc>
          <w:tcPr>
            <w:tcW w:w="6564" w:type="dxa"/>
            <w:noWrap w:val="0"/>
            <w:vAlign w:val="center"/>
          </w:tcPr>
          <w:p w14:paraId="1626901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服务内容</w:t>
            </w:r>
          </w:p>
        </w:tc>
        <w:tc>
          <w:tcPr>
            <w:tcW w:w="3000" w:type="dxa"/>
            <w:noWrap w:val="0"/>
            <w:vAlign w:val="center"/>
          </w:tcPr>
          <w:p w14:paraId="5C178FB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责任部门</w:t>
            </w:r>
          </w:p>
        </w:tc>
      </w:tr>
      <w:tr w14:paraId="4554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1094" w:type="dxa"/>
            <w:vMerge w:val="restart"/>
            <w:noWrap w:val="0"/>
            <w:vAlign w:val="center"/>
          </w:tcPr>
          <w:p w14:paraId="4953DB82">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幼有所育</w:t>
            </w:r>
          </w:p>
        </w:tc>
        <w:tc>
          <w:tcPr>
            <w:tcW w:w="583" w:type="dxa"/>
            <w:noWrap w:val="0"/>
            <w:vAlign w:val="center"/>
          </w:tcPr>
          <w:p w14:paraId="348DCC5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w:t>
            </w:r>
          </w:p>
        </w:tc>
        <w:tc>
          <w:tcPr>
            <w:tcW w:w="1853" w:type="dxa"/>
            <w:noWrap w:val="0"/>
            <w:vAlign w:val="center"/>
          </w:tcPr>
          <w:p w14:paraId="0CD982A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0-6岁</w:t>
            </w:r>
          </w:p>
          <w:p w14:paraId="7FC0504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w:t>
            </w:r>
          </w:p>
        </w:tc>
        <w:tc>
          <w:tcPr>
            <w:tcW w:w="1712" w:type="dxa"/>
            <w:noWrap w:val="0"/>
            <w:vAlign w:val="center"/>
          </w:tcPr>
          <w:p w14:paraId="6500125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健康和托育（3岁以下）服务</w:t>
            </w:r>
          </w:p>
        </w:tc>
        <w:tc>
          <w:tcPr>
            <w:tcW w:w="6564" w:type="dxa"/>
            <w:noWrap w:val="0"/>
            <w:vAlign w:val="center"/>
          </w:tcPr>
          <w:p w14:paraId="2D8E6E6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按照国家基本公共卫生服务规范提供健康管理服务；按照国家免疫规划疫苗免疫程序提供接种服务；有条件的地方就近提供托育服务</w:t>
            </w:r>
          </w:p>
        </w:tc>
        <w:tc>
          <w:tcPr>
            <w:tcW w:w="3000" w:type="dxa"/>
            <w:noWrap w:val="0"/>
            <w:vAlign w:val="center"/>
          </w:tcPr>
          <w:p w14:paraId="21769C82">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卫健委、疾控局</w:t>
            </w:r>
          </w:p>
        </w:tc>
      </w:tr>
      <w:tr w14:paraId="773E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1094" w:type="dxa"/>
            <w:vMerge w:val="continue"/>
            <w:noWrap w:val="0"/>
            <w:vAlign w:val="center"/>
          </w:tcPr>
          <w:p w14:paraId="4670B1F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6CEF952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2</w:t>
            </w:r>
          </w:p>
        </w:tc>
        <w:tc>
          <w:tcPr>
            <w:tcW w:w="1853" w:type="dxa"/>
            <w:noWrap w:val="0"/>
            <w:vAlign w:val="center"/>
          </w:tcPr>
          <w:p w14:paraId="61CEFCB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3-6岁</w:t>
            </w:r>
          </w:p>
          <w:p w14:paraId="127E947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w:t>
            </w:r>
          </w:p>
        </w:tc>
        <w:tc>
          <w:tcPr>
            <w:tcW w:w="1712" w:type="dxa"/>
            <w:noWrap w:val="0"/>
            <w:vAlign w:val="center"/>
          </w:tcPr>
          <w:p w14:paraId="7BB7437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学前教育服务</w:t>
            </w:r>
          </w:p>
        </w:tc>
        <w:tc>
          <w:tcPr>
            <w:tcW w:w="6564" w:type="dxa"/>
            <w:noWrap w:val="0"/>
            <w:vAlign w:val="center"/>
          </w:tcPr>
          <w:p w14:paraId="4CB0446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符合条件的就近在普惠性幼儿园入园；资助家庭经济困难的儿童接受普惠性学前教育</w:t>
            </w:r>
          </w:p>
        </w:tc>
        <w:tc>
          <w:tcPr>
            <w:tcW w:w="3000" w:type="dxa"/>
            <w:noWrap w:val="0"/>
            <w:vAlign w:val="center"/>
          </w:tcPr>
          <w:p w14:paraId="0D616FC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w:t>
            </w:r>
          </w:p>
        </w:tc>
      </w:tr>
      <w:tr w14:paraId="4586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1094" w:type="dxa"/>
            <w:vMerge w:val="restart"/>
            <w:noWrap w:val="0"/>
            <w:vAlign w:val="center"/>
          </w:tcPr>
          <w:p w14:paraId="5D776B0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学有所教</w:t>
            </w:r>
          </w:p>
        </w:tc>
        <w:tc>
          <w:tcPr>
            <w:tcW w:w="583" w:type="dxa"/>
            <w:noWrap w:val="0"/>
            <w:vAlign w:val="center"/>
          </w:tcPr>
          <w:p w14:paraId="537B1F2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3</w:t>
            </w:r>
          </w:p>
        </w:tc>
        <w:tc>
          <w:tcPr>
            <w:tcW w:w="1853" w:type="dxa"/>
            <w:noWrap w:val="0"/>
            <w:vAlign w:val="center"/>
          </w:tcPr>
          <w:p w14:paraId="2B3400D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义务教育阶段流动儿童</w:t>
            </w:r>
          </w:p>
        </w:tc>
        <w:tc>
          <w:tcPr>
            <w:tcW w:w="1712" w:type="dxa"/>
            <w:noWrap w:val="0"/>
            <w:vAlign w:val="center"/>
          </w:tcPr>
          <w:p w14:paraId="734134A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义务教育服务</w:t>
            </w:r>
          </w:p>
        </w:tc>
        <w:tc>
          <w:tcPr>
            <w:tcW w:w="6564" w:type="dxa"/>
            <w:noWrap w:val="0"/>
            <w:vAlign w:val="center"/>
          </w:tcPr>
          <w:p w14:paraId="03CC346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保障流动儿童接受义务教育，免除学杂费，免费提供教科书；以公办学校为主保障就近</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或相对就近</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入学</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为</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符合条件的</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家庭经济困难流动儿童提供生活补助；符合条件的在居住地参加中考</w:t>
            </w:r>
          </w:p>
        </w:tc>
        <w:tc>
          <w:tcPr>
            <w:tcW w:w="3000" w:type="dxa"/>
            <w:noWrap w:val="0"/>
            <w:vAlign w:val="center"/>
          </w:tcPr>
          <w:p w14:paraId="6009371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w:t>
            </w:r>
          </w:p>
        </w:tc>
      </w:tr>
      <w:tr w14:paraId="1ACE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4" w:type="dxa"/>
            <w:vMerge w:val="continue"/>
            <w:noWrap w:val="0"/>
            <w:vAlign w:val="center"/>
          </w:tcPr>
          <w:p w14:paraId="3609186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7DEA5AF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4</w:t>
            </w:r>
          </w:p>
        </w:tc>
        <w:tc>
          <w:tcPr>
            <w:tcW w:w="1853" w:type="dxa"/>
            <w:noWrap w:val="0"/>
            <w:vAlign w:val="center"/>
          </w:tcPr>
          <w:p w14:paraId="630CD59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普通高中教育阶段流动儿童</w:t>
            </w:r>
          </w:p>
        </w:tc>
        <w:tc>
          <w:tcPr>
            <w:tcW w:w="1712" w:type="dxa"/>
            <w:noWrap w:val="0"/>
            <w:vAlign w:val="center"/>
          </w:tcPr>
          <w:p w14:paraId="1A77D54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普通高中教育服务</w:t>
            </w:r>
          </w:p>
        </w:tc>
        <w:tc>
          <w:tcPr>
            <w:tcW w:w="6564" w:type="dxa"/>
            <w:noWrap w:val="0"/>
            <w:vAlign w:val="center"/>
          </w:tcPr>
          <w:p w14:paraId="7DB3F3C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保障</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符合条件的流动儿童在居住地普通高中就读并在当地参加高考；为</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符合条件的</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普通高中在校生中的家庭经济困难学生提供国家助学金；免除符合条件的普通高中家庭经济困难学生学杂费</w:t>
            </w:r>
          </w:p>
        </w:tc>
        <w:tc>
          <w:tcPr>
            <w:tcW w:w="3000" w:type="dxa"/>
            <w:noWrap w:val="0"/>
            <w:vAlign w:val="center"/>
          </w:tcPr>
          <w:p w14:paraId="057B6F82">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w:t>
            </w:r>
          </w:p>
        </w:tc>
      </w:tr>
      <w:tr w14:paraId="590C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4" w:type="dxa"/>
            <w:vMerge w:val="continue"/>
            <w:noWrap w:val="0"/>
            <w:vAlign w:val="center"/>
          </w:tcPr>
          <w:p w14:paraId="7C69843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33FFB4B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5</w:t>
            </w:r>
          </w:p>
        </w:tc>
        <w:tc>
          <w:tcPr>
            <w:tcW w:w="1853" w:type="dxa"/>
            <w:noWrap w:val="0"/>
            <w:vAlign w:val="center"/>
          </w:tcPr>
          <w:p w14:paraId="64F2CBE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中等职业教育阶段流动儿童</w:t>
            </w:r>
          </w:p>
        </w:tc>
        <w:tc>
          <w:tcPr>
            <w:tcW w:w="1712" w:type="dxa"/>
            <w:noWrap w:val="0"/>
            <w:vAlign w:val="center"/>
          </w:tcPr>
          <w:p w14:paraId="7BD0508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中等职业教育助学服务</w:t>
            </w:r>
          </w:p>
        </w:tc>
        <w:tc>
          <w:tcPr>
            <w:tcW w:w="6564" w:type="dxa"/>
            <w:noWrap w:val="0"/>
            <w:vAlign w:val="center"/>
          </w:tcPr>
          <w:p w14:paraId="0D7B9F0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为符合条件的中等职业教育在校生提供国家助学金；免除符合条件的中等职业教育在校生学费</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2000元/年</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；为符合条件的中等职业教育</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全日制在校生在毕业学年</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发放一次性求职创业补贴。</w:t>
            </w:r>
          </w:p>
        </w:tc>
        <w:tc>
          <w:tcPr>
            <w:tcW w:w="3000" w:type="dxa"/>
            <w:noWrap w:val="0"/>
            <w:vAlign w:val="center"/>
          </w:tcPr>
          <w:p w14:paraId="152FCE9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 人社局</w:t>
            </w:r>
          </w:p>
        </w:tc>
      </w:tr>
      <w:tr w14:paraId="6270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094" w:type="dxa"/>
            <w:vMerge w:val="restart"/>
            <w:noWrap w:val="0"/>
            <w:vAlign w:val="center"/>
          </w:tcPr>
          <w:p w14:paraId="513FCDB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病有所医</w:t>
            </w:r>
          </w:p>
        </w:tc>
        <w:tc>
          <w:tcPr>
            <w:tcW w:w="583" w:type="dxa"/>
            <w:noWrap w:val="0"/>
            <w:vAlign w:val="center"/>
          </w:tcPr>
          <w:p w14:paraId="5AE747B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6</w:t>
            </w:r>
          </w:p>
        </w:tc>
        <w:tc>
          <w:tcPr>
            <w:tcW w:w="1853" w:type="dxa"/>
            <w:vMerge w:val="restart"/>
            <w:noWrap w:val="0"/>
            <w:vAlign w:val="center"/>
          </w:tcPr>
          <w:p w14:paraId="1E87751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w:t>
            </w:r>
          </w:p>
        </w:tc>
        <w:tc>
          <w:tcPr>
            <w:tcW w:w="1712" w:type="dxa"/>
            <w:noWrap w:val="0"/>
            <w:vAlign w:val="center"/>
          </w:tcPr>
          <w:p w14:paraId="53426F3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卫生健康服务</w:t>
            </w:r>
          </w:p>
        </w:tc>
        <w:tc>
          <w:tcPr>
            <w:tcW w:w="6564" w:type="dxa"/>
            <w:noWrap w:val="0"/>
            <w:vAlign w:val="center"/>
          </w:tcPr>
          <w:p w14:paraId="5807655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提供家庭医生签约服务、基本医疗服务、基本公共卫生服务</w:t>
            </w:r>
          </w:p>
        </w:tc>
        <w:tc>
          <w:tcPr>
            <w:tcW w:w="3000" w:type="dxa"/>
            <w:noWrap w:val="0"/>
            <w:vAlign w:val="center"/>
          </w:tcPr>
          <w:p w14:paraId="104D131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师卫健委</w:t>
            </w:r>
          </w:p>
        </w:tc>
      </w:tr>
      <w:tr w14:paraId="7D45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4" w:type="dxa"/>
            <w:vMerge w:val="continue"/>
            <w:noWrap w:val="0"/>
            <w:vAlign w:val="center"/>
          </w:tcPr>
          <w:p w14:paraId="2FEFD08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559A4FF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7</w:t>
            </w:r>
          </w:p>
        </w:tc>
        <w:tc>
          <w:tcPr>
            <w:tcW w:w="1853" w:type="dxa"/>
            <w:vMerge w:val="continue"/>
            <w:noWrap w:val="0"/>
            <w:vAlign w:val="center"/>
          </w:tcPr>
          <w:p w14:paraId="576860E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712" w:type="dxa"/>
            <w:noWrap w:val="0"/>
            <w:vAlign w:val="center"/>
          </w:tcPr>
          <w:p w14:paraId="123EF59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医疗保障服务</w:t>
            </w:r>
          </w:p>
        </w:tc>
        <w:tc>
          <w:tcPr>
            <w:tcW w:w="6564" w:type="dxa"/>
            <w:noWrap w:val="0"/>
            <w:vAlign w:val="center"/>
          </w:tcPr>
          <w:p w14:paraId="6F60D74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做好儿童医疗保障相关工作，提供异地就医直接结算服务</w:t>
            </w:r>
          </w:p>
        </w:tc>
        <w:tc>
          <w:tcPr>
            <w:tcW w:w="3000" w:type="dxa"/>
            <w:noWrap w:val="0"/>
            <w:vAlign w:val="center"/>
          </w:tcPr>
          <w:p w14:paraId="7F5523F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师医保局</w:t>
            </w:r>
          </w:p>
        </w:tc>
      </w:tr>
      <w:tr w14:paraId="50BF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4" w:type="dxa"/>
            <w:vMerge w:val="continue"/>
            <w:noWrap w:val="0"/>
            <w:vAlign w:val="center"/>
          </w:tcPr>
          <w:p w14:paraId="2D67014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054C618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8</w:t>
            </w:r>
          </w:p>
        </w:tc>
        <w:tc>
          <w:tcPr>
            <w:tcW w:w="1853" w:type="dxa"/>
            <w:noWrap w:val="0"/>
            <w:vAlign w:val="center"/>
          </w:tcPr>
          <w:p w14:paraId="537C895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流动儿童中诊断明确、在家居住的严重精神障碍患者</w:t>
            </w:r>
          </w:p>
        </w:tc>
        <w:tc>
          <w:tcPr>
            <w:tcW w:w="1712" w:type="dxa"/>
            <w:noWrap w:val="0"/>
            <w:vAlign w:val="center"/>
          </w:tcPr>
          <w:p w14:paraId="4A9048A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健康管理服务</w:t>
            </w:r>
          </w:p>
        </w:tc>
        <w:tc>
          <w:tcPr>
            <w:tcW w:w="6564" w:type="dxa"/>
            <w:noWrap w:val="0"/>
            <w:vAlign w:val="center"/>
          </w:tcPr>
          <w:p w14:paraId="600760F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按照国家基本公共卫生服务规范提供管理服务，提供精神障碍社区康复服务</w:t>
            </w:r>
          </w:p>
        </w:tc>
        <w:tc>
          <w:tcPr>
            <w:tcW w:w="3000" w:type="dxa"/>
            <w:noWrap w:val="0"/>
            <w:vAlign w:val="center"/>
          </w:tcPr>
          <w:p w14:paraId="399482D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师卫健委、 民政局</w:t>
            </w:r>
          </w:p>
        </w:tc>
      </w:tr>
      <w:tr w14:paraId="0968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1094" w:type="dxa"/>
            <w:noWrap w:val="0"/>
            <w:vAlign w:val="center"/>
          </w:tcPr>
          <w:p w14:paraId="2B4B268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住有所居</w:t>
            </w:r>
          </w:p>
        </w:tc>
        <w:tc>
          <w:tcPr>
            <w:tcW w:w="583" w:type="dxa"/>
            <w:noWrap w:val="0"/>
            <w:vAlign w:val="center"/>
          </w:tcPr>
          <w:p w14:paraId="0BC2A3D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9</w:t>
            </w:r>
          </w:p>
        </w:tc>
        <w:tc>
          <w:tcPr>
            <w:tcW w:w="1853" w:type="dxa"/>
            <w:noWrap w:val="0"/>
            <w:vAlign w:val="center"/>
          </w:tcPr>
          <w:p w14:paraId="251D078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家庭住房困难的流动儿童</w:t>
            </w:r>
          </w:p>
        </w:tc>
        <w:tc>
          <w:tcPr>
            <w:tcW w:w="1712" w:type="dxa"/>
            <w:noWrap w:val="0"/>
            <w:vAlign w:val="center"/>
          </w:tcPr>
          <w:p w14:paraId="45A03DA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住房保障服务</w:t>
            </w:r>
          </w:p>
        </w:tc>
        <w:tc>
          <w:tcPr>
            <w:tcW w:w="6564" w:type="dxa"/>
            <w:noWrap w:val="0"/>
            <w:vAlign w:val="center"/>
          </w:tcPr>
          <w:p w14:paraId="19C3D19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为符合兵团住房保障条件的流动儿童家庭实物配租公共租赁住房或者发放租赁补贴</w:t>
            </w:r>
          </w:p>
        </w:tc>
        <w:tc>
          <w:tcPr>
            <w:tcW w:w="3000" w:type="dxa"/>
            <w:noWrap w:val="0"/>
            <w:vAlign w:val="center"/>
          </w:tcPr>
          <w:p w14:paraId="12A5408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师住建局</w:t>
            </w:r>
          </w:p>
        </w:tc>
      </w:tr>
      <w:tr w14:paraId="6875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trPr>
        <w:tc>
          <w:tcPr>
            <w:tcW w:w="1094" w:type="dxa"/>
            <w:vMerge w:val="restart"/>
            <w:noWrap w:val="0"/>
            <w:vAlign w:val="center"/>
          </w:tcPr>
          <w:p w14:paraId="02C2D4A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p w14:paraId="353C8BA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p w14:paraId="22D1745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弱有所扶</w:t>
            </w:r>
          </w:p>
        </w:tc>
        <w:tc>
          <w:tcPr>
            <w:tcW w:w="583" w:type="dxa"/>
            <w:noWrap w:val="0"/>
            <w:vAlign w:val="center"/>
          </w:tcPr>
          <w:p w14:paraId="5E14496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10</w:t>
            </w:r>
          </w:p>
        </w:tc>
        <w:tc>
          <w:tcPr>
            <w:tcW w:w="1853" w:type="dxa"/>
            <w:noWrap w:val="0"/>
            <w:vAlign w:val="center"/>
          </w:tcPr>
          <w:p w14:paraId="22D940F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流动儿童中的孤儿、艾滋病病毒感染儿童、事实无人抚养儿童</w:t>
            </w:r>
          </w:p>
        </w:tc>
        <w:tc>
          <w:tcPr>
            <w:tcW w:w="1712" w:type="dxa"/>
            <w:noWrap w:val="0"/>
            <w:vAlign w:val="center"/>
          </w:tcPr>
          <w:p w14:paraId="0AA93F0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基本生活保障服务</w:t>
            </w:r>
          </w:p>
        </w:tc>
        <w:tc>
          <w:tcPr>
            <w:tcW w:w="6564" w:type="dxa"/>
            <w:noWrap w:val="0"/>
            <w:vAlign w:val="center"/>
          </w:tcPr>
          <w:p w14:paraId="4BAEB4F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按照相关政策认定异地孤儿、事实无人抚养儿童资格，协助流动儿童向户籍地申领基本生活费或生活补贴</w:t>
            </w:r>
          </w:p>
        </w:tc>
        <w:tc>
          <w:tcPr>
            <w:tcW w:w="3000" w:type="dxa"/>
            <w:noWrap w:val="0"/>
            <w:vAlign w:val="center"/>
          </w:tcPr>
          <w:p w14:paraId="5492826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师民政局</w:t>
            </w:r>
          </w:p>
        </w:tc>
      </w:tr>
      <w:tr w14:paraId="461B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trPr>
        <w:tc>
          <w:tcPr>
            <w:tcW w:w="1094" w:type="dxa"/>
            <w:vMerge w:val="continue"/>
            <w:noWrap w:val="0"/>
            <w:vAlign w:val="center"/>
          </w:tcPr>
          <w:p w14:paraId="5218972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54F3AD4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11</w:t>
            </w:r>
          </w:p>
        </w:tc>
        <w:tc>
          <w:tcPr>
            <w:tcW w:w="1853" w:type="dxa"/>
            <w:vMerge w:val="restart"/>
            <w:noWrap w:val="0"/>
            <w:vAlign w:val="center"/>
          </w:tcPr>
          <w:p w14:paraId="61AF936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流动儿童中的残疾儿童</w:t>
            </w:r>
          </w:p>
        </w:tc>
        <w:tc>
          <w:tcPr>
            <w:tcW w:w="1712" w:type="dxa"/>
            <w:noWrap w:val="0"/>
            <w:vAlign w:val="center"/>
          </w:tcPr>
          <w:p w14:paraId="39A5C65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残疾儿童康复救助及残疾人两项补贴</w:t>
            </w:r>
          </w:p>
        </w:tc>
        <w:tc>
          <w:tcPr>
            <w:tcW w:w="6564" w:type="dxa"/>
            <w:noWrap w:val="0"/>
            <w:vAlign w:val="center"/>
          </w:tcPr>
          <w:p w14:paraId="0AA8E0B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为符合条件的残疾儿童办理残疾人两项补贴；就地受理</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有康复意愿的</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残疾儿童康复救助申请，</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做好康复救助工作</w:t>
            </w:r>
          </w:p>
        </w:tc>
        <w:tc>
          <w:tcPr>
            <w:tcW w:w="3000" w:type="dxa"/>
            <w:noWrap w:val="0"/>
            <w:vAlign w:val="center"/>
          </w:tcPr>
          <w:p w14:paraId="3772A23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师民政局、残联</w:t>
            </w:r>
          </w:p>
        </w:tc>
      </w:tr>
      <w:tr w14:paraId="3F8E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1094" w:type="dxa"/>
            <w:vMerge w:val="continue"/>
            <w:noWrap w:val="0"/>
            <w:vAlign w:val="center"/>
          </w:tcPr>
          <w:p w14:paraId="38967CB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0D5920F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12</w:t>
            </w:r>
          </w:p>
        </w:tc>
        <w:tc>
          <w:tcPr>
            <w:tcW w:w="1853" w:type="dxa"/>
            <w:vMerge w:val="continue"/>
            <w:noWrap w:val="0"/>
            <w:vAlign w:val="center"/>
          </w:tcPr>
          <w:p w14:paraId="0D61890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712" w:type="dxa"/>
            <w:noWrap w:val="0"/>
            <w:vAlign w:val="center"/>
          </w:tcPr>
          <w:p w14:paraId="61E9AFD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残疾儿童教育服务</w:t>
            </w:r>
          </w:p>
        </w:tc>
        <w:tc>
          <w:tcPr>
            <w:tcW w:w="6564" w:type="dxa"/>
            <w:noWrap w:val="0"/>
            <w:vAlign w:val="center"/>
          </w:tcPr>
          <w:p w14:paraId="0C6B389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对残疾儿童普惠性学前教育予以资助，为家庭经济困难的残疾学生提供包括义务教育、高中阶段教育在内的12年免费教育，对</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符合条件的</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残疾学生特殊学习用品、教育训练、交通费等予以补助</w:t>
            </w:r>
          </w:p>
        </w:tc>
        <w:tc>
          <w:tcPr>
            <w:tcW w:w="3000" w:type="dxa"/>
            <w:noWrap w:val="0"/>
            <w:vAlign w:val="center"/>
          </w:tcPr>
          <w:p w14:paraId="62E0330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 残联</w:t>
            </w:r>
          </w:p>
        </w:tc>
      </w:tr>
      <w:tr w14:paraId="2879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094" w:type="dxa"/>
            <w:vMerge w:val="continue"/>
            <w:noWrap w:val="0"/>
            <w:vAlign w:val="center"/>
          </w:tcPr>
          <w:p w14:paraId="749CA8F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1BEF7C0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13</w:t>
            </w:r>
          </w:p>
        </w:tc>
        <w:tc>
          <w:tcPr>
            <w:tcW w:w="1853" w:type="dxa"/>
            <w:noWrap w:val="0"/>
            <w:vAlign w:val="center"/>
          </w:tcPr>
          <w:p w14:paraId="72638ED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符合最低生活保障</w:t>
            </w:r>
          </w:p>
          <w:p w14:paraId="7B5645B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条件的流动儿童</w:t>
            </w:r>
          </w:p>
        </w:tc>
        <w:tc>
          <w:tcPr>
            <w:tcW w:w="1712" w:type="dxa"/>
            <w:noWrap w:val="0"/>
            <w:vAlign w:val="center"/>
          </w:tcPr>
          <w:p w14:paraId="1DF436D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最低生活保障服务</w:t>
            </w:r>
          </w:p>
        </w:tc>
        <w:tc>
          <w:tcPr>
            <w:tcW w:w="6564" w:type="dxa"/>
            <w:noWrap w:val="0"/>
            <w:vAlign w:val="center"/>
          </w:tcPr>
          <w:p w14:paraId="38BB6B3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协调户籍地对符合条件的流动儿童家庭纳入最低生活保障范围，对获得最低生活保障金后生活仍有困难的儿童采取必要措施给予生活保障</w:t>
            </w:r>
          </w:p>
        </w:tc>
        <w:tc>
          <w:tcPr>
            <w:tcW w:w="3000" w:type="dxa"/>
            <w:noWrap w:val="0"/>
            <w:vAlign w:val="center"/>
          </w:tcPr>
          <w:p w14:paraId="1831765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师民政局</w:t>
            </w:r>
          </w:p>
        </w:tc>
      </w:tr>
      <w:tr w14:paraId="271D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1094" w:type="dxa"/>
            <w:vMerge w:val="continue"/>
            <w:noWrap w:val="0"/>
            <w:vAlign w:val="center"/>
          </w:tcPr>
          <w:p w14:paraId="4492BBA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60A4655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14</w:t>
            </w:r>
          </w:p>
        </w:tc>
        <w:tc>
          <w:tcPr>
            <w:tcW w:w="1853" w:type="dxa"/>
            <w:noWrap w:val="0"/>
            <w:vAlign w:val="center"/>
          </w:tcPr>
          <w:p w14:paraId="4570233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符合户籍地特困救</w:t>
            </w:r>
          </w:p>
          <w:p w14:paraId="3B5903E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助供养条件的流动</w:t>
            </w:r>
          </w:p>
          <w:p w14:paraId="544BBEC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儿童</w:t>
            </w:r>
          </w:p>
        </w:tc>
        <w:tc>
          <w:tcPr>
            <w:tcW w:w="1712" w:type="dxa"/>
            <w:noWrap w:val="0"/>
            <w:vAlign w:val="center"/>
          </w:tcPr>
          <w:p w14:paraId="1D9D90A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特困人员救助供养服务</w:t>
            </w:r>
          </w:p>
        </w:tc>
        <w:tc>
          <w:tcPr>
            <w:tcW w:w="6564" w:type="dxa"/>
            <w:noWrap w:val="0"/>
            <w:vAlign w:val="center"/>
          </w:tcPr>
          <w:p w14:paraId="741C777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提供基本生活条件，对生活不能自理的给予照料；提供疾病治疗服务</w:t>
            </w:r>
          </w:p>
        </w:tc>
        <w:tc>
          <w:tcPr>
            <w:tcW w:w="3000" w:type="dxa"/>
            <w:noWrap w:val="0"/>
            <w:vAlign w:val="center"/>
          </w:tcPr>
          <w:p w14:paraId="7BCB67C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师民政局</w:t>
            </w:r>
          </w:p>
        </w:tc>
      </w:tr>
      <w:tr w14:paraId="5086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1094" w:type="dxa"/>
            <w:vMerge w:val="continue"/>
            <w:noWrap w:val="0"/>
            <w:vAlign w:val="center"/>
          </w:tcPr>
          <w:p w14:paraId="4988884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460BC79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15</w:t>
            </w:r>
          </w:p>
        </w:tc>
        <w:tc>
          <w:tcPr>
            <w:tcW w:w="1853" w:type="dxa"/>
            <w:noWrap w:val="0"/>
            <w:vAlign w:val="center"/>
          </w:tcPr>
          <w:p w14:paraId="430D7AB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符合本地临时救助</w:t>
            </w:r>
          </w:p>
          <w:p w14:paraId="4E883E8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情形的流动儿童</w:t>
            </w:r>
          </w:p>
        </w:tc>
        <w:tc>
          <w:tcPr>
            <w:tcW w:w="1712" w:type="dxa"/>
            <w:noWrap w:val="0"/>
            <w:vAlign w:val="center"/>
          </w:tcPr>
          <w:p w14:paraId="7E03F06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临时救助服务</w:t>
            </w:r>
          </w:p>
        </w:tc>
        <w:tc>
          <w:tcPr>
            <w:tcW w:w="6564" w:type="dxa"/>
            <w:noWrap w:val="0"/>
            <w:vAlign w:val="center"/>
          </w:tcPr>
          <w:p w14:paraId="30A64F9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发放临时救助金和有关物资，提供临时住所，提供转介服务</w:t>
            </w:r>
          </w:p>
        </w:tc>
        <w:tc>
          <w:tcPr>
            <w:tcW w:w="3000" w:type="dxa"/>
            <w:noWrap w:val="0"/>
            <w:vAlign w:val="center"/>
          </w:tcPr>
          <w:p w14:paraId="1C9A541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师民政局</w:t>
            </w:r>
          </w:p>
        </w:tc>
      </w:tr>
      <w:tr w14:paraId="700B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1094" w:type="dxa"/>
            <w:vMerge w:val="restart"/>
            <w:noWrap w:val="0"/>
            <w:vAlign w:val="center"/>
          </w:tcPr>
          <w:p w14:paraId="235B8672">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黑体" w:hAnsi="黑体" w:eastAsia="黑体" w:cs="黑体"/>
                <w:b w:val="0"/>
                <w:bCs w:val="0"/>
                <w:color w:val="000000"/>
                <w:spacing w:val="0"/>
                <w:w w:val="100"/>
                <w:kern w:val="0"/>
                <w:position w:val="0"/>
                <w:sz w:val="32"/>
                <w:szCs w:val="32"/>
                <w:shd w:val="clear" w:color="auto" w:fill="auto"/>
                <w:lang w:val="en-US" w:eastAsia="zh-CN" w:bidi="en-US"/>
              </w:rPr>
            </w:pPr>
            <w:r>
              <w:rPr>
                <w:rFonts w:hint="eastAsia" w:ascii="黑体" w:hAnsi="黑体" w:eastAsia="黑体" w:cs="黑体"/>
                <w:b w:val="0"/>
                <w:bCs w:val="0"/>
                <w:color w:val="000000"/>
                <w:spacing w:val="0"/>
                <w:w w:val="100"/>
                <w:kern w:val="0"/>
                <w:position w:val="0"/>
                <w:sz w:val="32"/>
                <w:szCs w:val="32"/>
                <w:shd w:val="clear" w:color="auto" w:fill="auto"/>
                <w:lang w:val="en-US" w:eastAsia="zh-CN" w:bidi="en-US"/>
              </w:rPr>
              <w:t>发展保障</w:t>
            </w:r>
          </w:p>
        </w:tc>
        <w:tc>
          <w:tcPr>
            <w:tcW w:w="583" w:type="dxa"/>
            <w:noWrap w:val="0"/>
            <w:vAlign w:val="center"/>
          </w:tcPr>
          <w:p w14:paraId="4157339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16</w:t>
            </w:r>
          </w:p>
        </w:tc>
        <w:tc>
          <w:tcPr>
            <w:tcW w:w="1853" w:type="dxa"/>
            <w:vMerge w:val="restart"/>
            <w:noWrap w:val="0"/>
            <w:vAlign w:val="center"/>
          </w:tcPr>
          <w:p w14:paraId="4DE946A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w:t>
            </w:r>
          </w:p>
        </w:tc>
        <w:tc>
          <w:tcPr>
            <w:tcW w:w="1712" w:type="dxa"/>
            <w:noWrap w:val="0"/>
            <w:vAlign w:val="center"/>
          </w:tcPr>
          <w:p w14:paraId="4183DF27">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家庭教育指导服务</w:t>
            </w:r>
          </w:p>
        </w:tc>
        <w:tc>
          <w:tcPr>
            <w:tcW w:w="6564" w:type="dxa"/>
            <w:noWrap w:val="0"/>
            <w:vAlign w:val="center"/>
          </w:tcPr>
          <w:p w14:paraId="7B3921B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对流动儿童父母或者其他监护人提供家庭教育指导服务</w:t>
            </w:r>
          </w:p>
        </w:tc>
        <w:tc>
          <w:tcPr>
            <w:tcW w:w="3000" w:type="dxa"/>
            <w:noWrap w:val="0"/>
            <w:vAlign w:val="center"/>
          </w:tcPr>
          <w:p w14:paraId="07F563A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第</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十二师</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中级人民法院、第</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十二师</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人民检察分院、教育局、公安局、妇联</w:t>
            </w:r>
          </w:p>
        </w:tc>
      </w:tr>
      <w:tr w14:paraId="13AB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1094" w:type="dxa"/>
            <w:vMerge w:val="continue"/>
            <w:noWrap w:val="0"/>
            <w:vAlign w:val="center"/>
          </w:tcPr>
          <w:p w14:paraId="45BBDE7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03DD67C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17</w:t>
            </w:r>
          </w:p>
        </w:tc>
        <w:tc>
          <w:tcPr>
            <w:tcW w:w="1853" w:type="dxa"/>
            <w:vMerge w:val="continue"/>
            <w:noWrap w:val="0"/>
            <w:vAlign w:val="center"/>
          </w:tcPr>
          <w:p w14:paraId="53FA3FE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712" w:type="dxa"/>
            <w:noWrap w:val="0"/>
            <w:vAlign w:val="center"/>
          </w:tcPr>
          <w:p w14:paraId="4167BF1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心理健康服务</w:t>
            </w:r>
          </w:p>
        </w:tc>
        <w:tc>
          <w:tcPr>
            <w:tcW w:w="6564" w:type="dxa"/>
            <w:noWrap w:val="0"/>
            <w:vAlign w:val="center"/>
          </w:tcPr>
          <w:p w14:paraId="6B13733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对有需要的流动儿童提供心理健康筛查，符合条件的纳入精神障碍社区康复服务范围</w:t>
            </w:r>
          </w:p>
        </w:tc>
        <w:tc>
          <w:tcPr>
            <w:tcW w:w="3000" w:type="dxa"/>
            <w:noWrap w:val="0"/>
            <w:vAlign w:val="center"/>
          </w:tcPr>
          <w:p w14:paraId="1538306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民政局、教育局、卫生健康委</w:t>
            </w:r>
          </w:p>
        </w:tc>
      </w:tr>
      <w:tr w14:paraId="3A02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094" w:type="dxa"/>
            <w:vMerge w:val="continue"/>
            <w:noWrap w:val="0"/>
            <w:vAlign w:val="center"/>
          </w:tcPr>
          <w:p w14:paraId="37871D9C">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34BF571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18</w:t>
            </w:r>
          </w:p>
        </w:tc>
        <w:tc>
          <w:tcPr>
            <w:tcW w:w="1853" w:type="dxa"/>
            <w:vMerge w:val="continue"/>
            <w:noWrap w:val="0"/>
            <w:vAlign w:val="center"/>
          </w:tcPr>
          <w:p w14:paraId="2E73D3A2">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712" w:type="dxa"/>
            <w:noWrap w:val="0"/>
            <w:vAlign w:val="center"/>
          </w:tcPr>
          <w:p w14:paraId="6BDC3EF9">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精神文化生活服务</w:t>
            </w:r>
          </w:p>
        </w:tc>
        <w:tc>
          <w:tcPr>
            <w:tcW w:w="6564" w:type="dxa"/>
            <w:noWrap w:val="0"/>
            <w:vAlign w:val="center"/>
          </w:tcPr>
          <w:p w14:paraId="03B662ED">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在学校、幼儿园和“童心港湾”、儿童活动中心、儿童之家等场所开展流动儿童参加的文化活动；为流动儿童提供阅读指导、精神陪伴等服务；组织创作、传播有利于流动儿童成长的广播电视和网络视听节目，丰富其精神文化生活</w:t>
            </w:r>
          </w:p>
        </w:tc>
        <w:tc>
          <w:tcPr>
            <w:tcW w:w="3000" w:type="dxa"/>
            <w:noWrap w:val="0"/>
            <w:vAlign w:val="center"/>
          </w:tcPr>
          <w:p w14:paraId="6AF37AB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师党委网信办、教育局、民政局、文体广旅局、团委、妇联</w:t>
            </w:r>
          </w:p>
        </w:tc>
      </w:tr>
      <w:tr w14:paraId="3BD2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4" w:hRule="atLeast"/>
        </w:trPr>
        <w:tc>
          <w:tcPr>
            <w:tcW w:w="1094" w:type="dxa"/>
            <w:vMerge w:val="continue"/>
            <w:noWrap w:val="0"/>
            <w:vAlign w:val="center"/>
          </w:tcPr>
          <w:p w14:paraId="334F5F4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583" w:type="dxa"/>
            <w:noWrap w:val="0"/>
            <w:vAlign w:val="center"/>
          </w:tcPr>
          <w:p w14:paraId="44738D3E">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19</w:t>
            </w:r>
          </w:p>
        </w:tc>
        <w:tc>
          <w:tcPr>
            <w:tcW w:w="1853" w:type="dxa"/>
            <w:vMerge w:val="continue"/>
            <w:noWrap w:val="0"/>
            <w:vAlign w:val="center"/>
          </w:tcPr>
          <w:p w14:paraId="3825941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p>
        </w:tc>
        <w:tc>
          <w:tcPr>
            <w:tcW w:w="1712" w:type="dxa"/>
            <w:noWrap w:val="0"/>
            <w:vAlign w:val="center"/>
          </w:tcPr>
          <w:p w14:paraId="1CD9D38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城市融入服务</w:t>
            </w:r>
          </w:p>
        </w:tc>
        <w:tc>
          <w:tcPr>
            <w:tcW w:w="6564" w:type="dxa"/>
            <w:noWrap w:val="0"/>
            <w:vAlign w:val="center"/>
          </w:tcPr>
          <w:p w14:paraId="3B18A02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both"/>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开展流动儿童城市融入支持活动，为</w:t>
            </w:r>
            <w:r>
              <w:rPr>
                <w:rFonts w:hint="eastAsia"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辖区内有劳动能力和就业意愿的</w:t>
            </w: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流动儿童父母提供政策咨询、职业介绍、职业培训、创业指导等服务</w:t>
            </w:r>
          </w:p>
        </w:tc>
        <w:tc>
          <w:tcPr>
            <w:tcW w:w="3000" w:type="dxa"/>
            <w:noWrap w:val="0"/>
            <w:vAlign w:val="center"/>
          </w:tcPr>
          <w:p w14:paraId="3E512863">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pPr>
            <w:r>
              <w:rPr>
                <w:rFonts w:hint="default" w:ascii="Times New Roman" w:hAnsi="Times New Roman" w:eastAsia="仿宋_GB2312" w:cs="Times New Roman"/>
                <w:b w:val="0"/>
                <w:bCs w:val="0"/>
                <w:color w:val="000000"/>
                <w:spacing w:val="0"/>
                <w:w w:val="100"/>
                <w:kern w:val="0"/>
                <w:position w:val="0"/>
                <w:sz w:val="32"/>
                <w:szCs w:val="32"/>
                <w:shd w:val="clear" w:color="auto" w:fill="auto"/>
                <w:lang w:val="en-US" w:eastAsia="zh-CN" w:bidi="en-US"/>
              </w:rPr>
              <w:t>师教育局、民政局、人社局、团委、妇联</w:t>
            </w:r>
          </w:p>
        </w:tc>
      </w:tr>
    </w:tbl>
    <w:p w14:paraId="7334AF4E">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972233"/>
    <w:rsid w:val="2F972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2026-07-27T03:12:00Z</dcterms:created>
  <dc:creator>1</dc:creator>
  <cp:lastModifiedBy>1</cp:lastModifiedBy>
  <dcterms:modified xsi:type="dcterms:W3CDTF">2026-07-27T03:13:01Z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3D73AA5E448941A0AE6ED6972FC61EB5_11</vt:lpwstr>
  </property>
  <property fmtid="{D5CDD505-2E9C-101B-9397-08002B2CF9AE}" pid="4" name="KSOTemplateDocerSaveRecord">
    <vt:lpwstr>eyJoZGlkIjoiZGNlOGU4OGIyMGZhN2FjNzdlYTIxMmFmMmM0NTU2NTMiLCJ1c2VySWQiOiIyNTE3NTIzODYifQ==</vt:lpwstr>
  </property>
</Properties>
</file>