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32FF9">
      <w:pPr>
        <w:widowControl w:val="0"/>
        <w:wordWrap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附件1</w:t>
      </w:r>
    </w:p>
    <w:p w14:paraId="26101BA0">
      <w:pPr>
        <w:widowControl w:val="0"/>
        <w:wordWrap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2AE4DF04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  <w:t>第</w:t>
      </w:r>
      <w:r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  <w:t>十二师政府产业引导母基金</w:t>
      </w:r>
      <w:r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  <w:t>管理办公室</w:t>
      </w:r>
    </w:p>
    <w:p w14:paraId="2B0FD41B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</w:p>
    <w:p w14:paraId="700E018E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为保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障第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十二师政府产业引导母基金的稳健运行，设立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十二师政府产业引导母基金管理办公室（以下简称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“办公室”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），具体如下：</w:t>
      </w:r>
    </w:p>
    <w:p w14:paraId="1F54D9C0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办公室组成</w:t>
      </w:r>
    </w:p>
    <w:p w14:paraId="67C636BC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主  任：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曾小红   师党委常委、副师长</w:t>
      </w:r>
    </w:p>
    <w:p w14:paraId="6FE4C737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副主任：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 xml:space="preserve">张宏波   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师财政局（国资委、金融办）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党组书记、</w:t>
      </w:r>
    </w:p>
    <w:p w14:paraId="4810FF85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3200" w:firstLineChars="10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局长、国资委主任</w:t>
      </w:r>
    </w:p>
    <w:p w14:paraId="6A19288E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left="3198" w:leftChars="304" w:hanging="2560" w:hangingChars="8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成  员：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吕晓品   师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发展和改革委员会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党组书记、主任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师国防动员办公室主任（兼）</w:t>
      </w:r>
    </w:p>
    <w:p w14:paraId="430FF5CE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left="3195" w:leftChars="912" w:hanging="1280" w:hangingChars="4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姚爱斌   师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科学技术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局党组书记、局长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，二级巡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视员</w:t>
      </w:r>
    </w:p>
    <w:p w14:paraId="7A7CD4B3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许  云   师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工业和信息化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局党组书记</w:t>
      </w:r>
    </w:p>
    <w:p w14:paraId="2E2F1ED3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彭  燕   师商务局党组书记、局长</w:t>
      </w:r>
    </w:p>
    <w:p w14:paraId="3BA51CA2">
      <w:pPr>
        <w:widowControl w:val="0"/>
        <w:tabs>
          <w:tab w:val="left" w:pos="0"/>
        </w:tabs>
        <w:wordWrap/>
        <w:adjustRightInd w:val="0"/>
        <w:snapToGrid w:val="0"/>
        <w:spacing w:line="560" w:lineRule="exact"/>
        <w:ind w:left="3195" w:leftChars="912" w:hanging="1280" w:hangingChars="4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雷  楠   兵团乌鲁木齐经济技术开发区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党工委委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员、管委会副主任</w:t>
      </w:r>
    </w:p>
    <w:p w14:paraId="40EC4225"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二、运行机制</w:t>
      </w:r>
    </w:p>
    <w:p w14:paraId="4E9AC0E7"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  <w:highlight w:val="none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办公室设在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师财政局（国资委、金融办），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行使引导基金重大事项协调职责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负责将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有关基金的议题形成提案报师党委常委会审议：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引导母基金直投项目和参股子基金；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引导母基金投资、管理、风险控制、退出和考核等相关制度；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引导母基金的发展规划、年度投资计划、投资运作报告、资金使用报告等事项。</w:t>
      </w:r>
    </w:p>
    <w:p w14:paraId="3462D1A5"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牵头召开产业引导母基金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相关会议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，如有必要，可邀请师相关部门参加会议。</w:t>
      </w:r>
    </w:p>
    <w:p w14:paraId="061430AF"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  <w:highlight w:val="none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如有人事变动，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成员将随人事变动而自行调整，不另行发文。</w:t>
      </w:r>
    </w:p>
    <w:p w14:paraId="2786AF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D42D0"/>
    <w:rsid w:val="2EDD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2026-07-30T04:18:00Z</dcterms:created>
  <dc:creator>1</dc:creator>
  <cp:lastModifiedBy>1</cp:lastModifiedBy>
  <dcterms:modified xsi:type="dcterms:W3CDTF">2026-07-30T04:18:26Z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58A61BF9EC7A4653B9F730B481618ED3_11</vt:lpwstr>
  </property>
  <property fmtid="{D5CDD505-2E9C-101B-9397-08002B2CF9AE}" pid="4" name="KSOTemplateDocerSaveRecord">
    <vt:lpwstr>eyJoZGlkIjoiZGNlOGU4OGIyMGZhN2FjNzdlYTIxMmFmMmM0NTU2NTMiLCJ1c2VySWQiOiIyNTE3NTIzODYifQ==</vt:lpwstr>
  </property>
</Properties>
</file>