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line="560" w:lineRule="exact"/>
        <w:jc w:val="both"/>
        <w:textAlignment w:val="auto"/>
        <w:rPr>
          <w:rFonts w:hint="default" w:ascii="Times New Roman" w:hAnsi="Times New Roman" w:eastAsia="黑体" w:cs="Times New Roman"/>
          <w:color w:val="000000"/>
          <w:sz w:val="32"/>
          <w:szCs w:val="32"/>
          <w:highlight w:val="none"/>
          <w:u w:val="none"/>
          <w:lang w:val="en-US" w:eastAsia="zh-CN"/>
        </w:rPr>
      </w:pPr>
      <w:r>
        <w:rPr>
          <w:rFonts w:hint="default" w:ascii="Times New Roman" w:hAnsi="Times New Roman" w:eastAsia="黑体" w:cs="Times New Roman"/>
          <w:color w:val="000000"/>
          <w:sz w:val="32"/>
          <w:szCs w:val="32"/>
          <w:highlight w:val="none"/>
          <w:u w:val="none"/>
          <w:lang w:val="en-US" w:eastAsia="zh-CN"/>
        </w:rPr>
        <w:t>附件2</w:t>
      </w:r>
    </w:p>
    <w:p>
      <w:pPr>
        <w:widowControl w:val="0"/>
        <w:wordWrap/>
        <w:adjustRightInd/>
        <w:snapToGrid/>
        <w:spacing w:line="560" w:lineRule="exact"/>
        <w:jc w:val="center"/>
        <w:textAlignment w:val="auto"/>
        <w:rPr>
          <w:rFonts w:hint="default" w:ascii="Times New Roman" w:hAnsi="Times New Roman" w:eastAsia="方正小标宋简体" w:cs="Times New Roman"/>
          <w:sz w:val="44"/>
          <w:szCs w:val="44"/>
          <w:highlight w:val="none"/>
        </w:rPr>
      </w:pPr>
    </w:p>
    <w:p>
      <w:pPr>
        <w:widowControl w:val="0"/>
        <w:wordWrap/>
        <w:adjustRightInd/>
        <w:snapToGrid/>
        <w:spacing w:line="560" w:lineRule="exact"/>
        <w:jc w:val="center"/>
        <w:textAlignment w:val="auto"/>
        <w:rPr>
          <w:rFonts w:hint="default" w:ascii="Times New Roman" w:hAnsi="Times New Roman" w:eastAsia="方正小标宋简体" w:cs="Times New Roman"/>
          <w:sz w:val="44"/>
          <w:szCs w:val="44"/>
          <w:highlight w:val="none"/>
        </w:rPr>
      </w:pPr>
      <w:r>
        <w:rPr>
          <w:rFonts w:hint="eastAsia" w:ascii="Times New Roman" w:hAnsi="Times New Roman" w:eastAsia="方正小标宋简体" w:cs="Times New Roman"/>
          <w:sz w:val="44"/>
          <w:szCs w:val="44"/>
          <w:highlight w:val="none"/>
          <w:lang w:val="en-US" w:eastAsia="zh-CN"/>
        </w:rPr>
        <w:t>第</w:t>
      </w:r>
      <w:r>
        <w:rPr>
          <w:rFonts w:hint="default" w:ascii="Times New Roman" w:hAnsi="Times New Roman" w:eastAsia="方正小标宋简体" w:cs="Times New Roman"/>
          <w:sz w:val="44"/>
          <w:szCs w:val="44"/>
          <w:highlight w:val="none"/>
        </w:rPr>
        <w:t>十二师政府产业引导母基金管理办法</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第一章 总则</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第一条 </w:t>
      </w:r>
      <w:r>
        <w:rPr>
          <w:rFonts w:hint="default" w:ascii="Times New Roman" w:hAnsi="Times New Roman" w:eastAsia="仿宋_GB2312" w:cs="Times New Roman"/>
          <w:sz w:val="32"/>
          <w:szCs w:val="32"/>
          <w:highlight w:val="none"/>
        </w:rPr>
        <w:t>为发挥财政资金对产业的引导扶持和助力招商引资作用，通过创新财政支持经济并吸引社会资金向师重点产业集聚，加快构建十二师现代产业体系，推动自贸试验区十二师区块建设，促进十二师经济高质量发展，根据《财政部关于印发〈政府投资基金暂行管理办法〉的通知》（财预〔2015〕210号）、《财政部关于财政资金注资政府投资基金支持产业发展的指导意见》（财建〔2015〕1062号）、《财政部关于加强政府投资基金管理提高财政出资效益的通知》（财预〔2020〕7号）等有关规定，结合十二师实际，制定本办法。</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第二条 </w:t>
      </w:r>
      <w:r>
        <w:rPr>
          <w:rFonts w:hint="default" w:ascii="Times New Roman" w:hAnsi="Times New Roman" w:eastAsia="仿宋_GB2312" w:cs="Times New Roman"/>
          <w:sz w:val="32"/>
          <w:szCs w:val="32"/>
          <w:highlight w:val="none"/>
        </w:rPr>
        <w:t>本办法所称产业引导母基金，是指师财政部门和国有企业出资，采用股权投资等市场化方式，引导各类社会资本投资经济社会发展的重点领域和关键环节，以支持相关产业和领域发展的政策性基金。本办法所称出资，是指财政部门通过一般公共预算、政府性基金预算、国有资本经营预算等安排的资金</w:t>
      </w:r>
      <w:r>
        <w:rPr>
          <w:rFonts w:hint="default" w:ascii="Times New Roman" w:hAnsi="Times New Roman" w:eastAsia="仿宋_GB2312" w:cs="Times New Roman"/>
          <w:sz w:val="32"/>
          <w:szCs w:val="32"/>
          <w:highlight w:val="none"/>
          <w:lang w:val="en-US" w:eastAsia="zh-CN"/>
        </w:rPr>
        <w:t>通过注资形式委托国有企业出资</w:t>
      </w:r>
      <w:r>
        <w:rPr>
          <w:rFonts w:hint="default" w:ascii="Times New Roman" w:hAnsi="Times New Roman" w:eastAsia="仿宋_GB2312" w:cs="Times New Roman"/>
          <w:sz w:val="32"/>
          <w:szCs w:val="32"/>
          <w:highlight w:val="none"/>
        </w:rPr>
        <w:t>以及所属符合条件的师属国有企业出资。</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第三条</w:t>
      </w:r>
      <w:r>
        <w:rPr>
          <w:rFonts w:hint="default" w:ascii="Times New Roman" w:hAnsi="Times New Roman" w:eastAsia="仿宋_GB2312" w:cs="Times New Roman"/>
          <w:sz w:val="32"/>
          <w:szCs w:val="32"/>
          <w:highlight w:val="none"/>
        </w:rPr>
        <w:t xml:space="preserve"> 产业引导母基金坚持</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政策</w:t>
      </w:r>
      <w:r>
        <w:rPr>
          <w:rFonts w:hint="default" w:ascii="Times New Roman" w:hAnsi="Times New Roman" w:eastAsia="仿宋_GB2312" w:cs="Times New Roman"/>
          <w:sz w:val="32"/>
          <w:szCs w:val="32"/>
          <w:highlight w:val="none"/>
        </w:rPr>
        <w:t>引导、市场运作、</w:t>
      </w:r>
      <w:r>
        <w:rPr>
          <w:rFonts w:hint="default" w:ascii="Times New Roman" w:hAnsi="Times New Roman" w:eastAsia="仿宋_GB2312" w:cs="Times New Roman"/>
          <w:sz w:val="32"/>
          <w:szCs w:val="32"/>
          <w:highlight w:val="none"/>
          <w:lang w:val="en-US" w:eastAsia="zh-CN"/>
        </w:rPr>
        <w:t>多元筹资</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专业管理、</w:t>
      </w:r>
      <w:r>
        <w:rPr>
          <w:rFonts w:hint="default" w:ascii="Times New Roman" w:hAnsi="Times New Roman" w:eastAsia="仿宋_GB2312" w:cs="Times New Roman"/>
          <w:sz w:val="32"/>
          <w:szCs w:val="32"/>
          <w:highlight w:val="none"/>
        </w:rPr>
        <w:t>风险防控</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的原则，聚焦服务实体经济、支持主导产业、放大撬动作用的目标定位，确保政策效益、社会效益和经济效益有机统一。</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第二章 整体架构</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第四条</w:t>
      </w:r>
      <w:r>
        <w:rPr>
          <w:rFonts w:hint="default" w:ascii="Times New Roman" w:hAnsi="Times New Roman" w:eastAsia="仿宋_GB2312" w:cs="Times New Roman"/>
          <w:sz w:val="32"/>
          <w:szCs w:val="32"/>
          <w:highlight w:val="none"/>
        </w:rPr>
        <w:t xml:space="preserve"> 按照功能定位和投向，产业引导母基金通过</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母子基金</w:t>
      </w:r>
      <w:r>
        <w:rPr>
          <w:rFonts w:hint="default" w:ascii="Times New Roman" w:hAnsi="Times New Roman" w:eastAsia="仿宋_GB2312" w:cs="Times New Roman"/>
          <w:sz w:val="32"/>
          <w:szCs w:val="32"/>
          <w:highlight w:val="none"/>
          <w:lang w:val="en-US" w:eastAsia="zh-CN"/>
        </w:rPr>
        <w:t>+直投</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的方式运作，子基金由产业引导母基金</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社会资本共同发起设立。按基金规定的投向具体支持产业项目。</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lang w:val="en-US" w:eastAsia="zh-CN"/>
        </w:rPr>
        <w:t>在运作过程中根据实际情况需要分别</w:t>
      </w:r>
      <w:r>
        <w:rPr>
          <w:rFonts w:hint="default" w:ascii="Times New Roman" w:hAnsi="Times New Roman" w:eastAsia="仿宋_GB2312" w:cs="Times New Roman"/>
          <w:sz w:val="32"/>
          <w:szCs w:val="32"/>
          <w:highlight w:val="none"/>
        </w:rPr>
        <w:t>设立N只参股基金（包含投资单一项目的项目基金）、股权直投项目等，打造</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1+N</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集群。</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rPr>
        <w:t xml:space="preserve">第五条 </w:t>
      </w:r>
      <w:r>
        <w:rPr>
          <w:rFonts w:hint="default" w:ascii="Times New Roman" w:hAnsi="Times New Roman" w:eastAsia="仿宋_GB2312" w:cs="Times New Roman"/>
          <w:sz w:val="32"/>
          <w:szCs w:val="32"/>
          <w:highlight w:val="none"/>
        </w:rPr>
        <w:t>产业引导母基金重点围绕十二师七大产业链，推动十二师向产业基础高级化、产业链现代化发展。重点支持的产业链包括：1.农副产品精深加工和医药产业链；2.能源化工和节能环保产业链；3.高端装备制造和新材料产</w:t>
      </w:r>
      <w:r>
        <w:rPr>
          <w:rFonts w:hint="eastAsia" w:ascii="Times New Roman" w:hAnsi="Times New Roman" w:eastAsia="仿宋_GB2312" w:cs="Times New Roman"/>
          <w:sz w:val="32"/>
          <w:szCs w:val="32"/>
          <w:highlight w:val="none"/>
          <w:lang w:eastAsia="zh-CN"/>
        </w:rPr>
        <w:t>业链</w:t>
      </w:r>
      <w:r>
        <w:rPr>
          <w:rFonts w:hint="default" w:ascii="Times New Roman" w:hAnsi="Times New Roman" w:eastAsia="仿宋_GB2312" w:cs="Times New Roman"/>
          <w:sz w:val="32"/>
          <w:szCs w:val="32"/>
          <w:highlight w:val="none"/>
        </w:rPr>
        <w:t>；4.电子信息和大数据产业链；5.现代商贸物流和加工制造产业链，构建</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通道+枢纽+网络</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的现代商贸物流体系，打造相关设备和生产服务制造业，构建现代产业体系；6.城市发展服务产业链；7.文旅康养产业链文化旅游产业链。</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第三章 管理机制</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rPr>
        <w:t>第六条</w:t>
      </w:r>
      <w:r>
        <w:rPr>
          <w:rFonts w:hint="default" w:ascii="Times New Roman" w:hAnsi="Times New Roman" w:eastAsia="仿宋_GB2312" w:cs="Times New Roman"/>
          <w:b/>
          <w:bCs/>
          <w:sz w:val="32"/>
          <w:szCs w:val="32"/>
          <w:highlight w:val="none"/>
          <w:lang w:val="en-US" w:eastAsia="zh-CN"/>
        </w:rPr>
        <w:t xml:space="preserve"> </w:t>
      </w:r>
      <w:r>
        <w:rPr>
          <w:rFonts w:hint="eastAsia" w:ascii="Times New Roman" w:hAnsi="Times New Roman" w:eastAsia="仿宋_GB2312" w:cs="Times New Roman"/>
          <w:b w:val="0"/>
          <w:bCs w:val="0"/>
          <w:sz w:val="32"/>
          <w:szCs w:val="32"/>
          <w:highlight w:val="none"/>
          <w:lang w:val="en-US" w:eastAsia="zh-CN"/>
        </w:rPr>
        <w:t>设立</w:t>
      </w:r>
      <w:r>
        <w:rPr>
          <w:rFonts w:hint="default" w:ascii="Times New Roman" w:hAnsi="Times New Roman" w:eastAsia="仿宋_GB2312" w:cs="Times New Roman"/>
          <w:b w:val="0"/>
          <w:bCs w:val="0"/>
          <w:sz w:val="32"/>
          <w:szCs w:val="32"/>
          <w:highlight w:val="none"/>
          <w:lang w:val="en-US" w:eastAsia="zh-CN"/>
        </w:rPr>
        <w:t>十二师政府产业引导母基金管理办公室（以下简称</w:t>
      </w:r>
      <w:r>
        <w:rPr>
          <w:rFonts w:hint="eastAsia" w:ascii="Times New Roman" w:hAnsi="Times New Roman" w:eastAsia="仿宋_GB2312" w:cs="Times New Roman"/>
          <w:b w:val="0"/>
          <w:bCs w:val="0"/>
          <w:sz w:val="32"/>
          <w:szCs w:val="32"/>
          <w:highlight w:val="none"/>
          <w:lang w:val="en-US" w:eastAsia="zh-CN"/>
        </w:rPr>
        <w:t>“办公室”</w:t>
      </w:r>
      <w:r>
        <w:rPr>
          <w:rFonts w:hint="default" w:ascii="Times New Roman" w:hAnsi="Times New Roman" w:eastAsia="仿宋_GB2312" w:cs="Times New Roman"/>
          <w:b w:val="0"/>
          <w:bCs w:val="0"/>
          <w:sz w:val="32"/>
          <w:szCs w:val="32"/>
          <w:highlight w:val="none"/>
          <w:lang w:val="en-US" w:eastAsia="zh-CN"/>
        </w:rPr>
        <w:t>），行使引导母基金重大事项协调职责。由十二师分管</w:t>
      </w:r>
      <w:r>
        <w:rPr>
          <w:rFonts w:hint="eastAsia" w:ascii="Times New Roman" w:hAnsi="Times New Roman" w:eastAsia="仿宋_GB2312" w:cs="Times New Roman"/>
          <w:b w:val="0"/>
          <w:bCs w:val="0"/>
          <w:sz w:val="32"/>
          <w:szCs w:val="32"/>
          <w:highlight w:val="none"/>
          <w:lang w:val="en-US" w:eastAsia="zh-CN"/>
        </w:rPr>
        <w:t>师</w:t>
      </w:r>
      <w:r>
        <w:rPr>
          <w:rFonts w:hint="default" w:ascii="Times New Roman" w:hAnsi="Times New Roman" w:eastAsia="仿宋_GB2312" w:cs="Times New Roman"/>
          <w:b w:val="0"/>
          <w:bCs w:val="0"/>
          <w:sz w:val="32"/>
          <w:szCs w:val="32"/>
          <w:highlight w:val="none"/>
          <w:lang w:val="en-US" w:eastAsia="zh-CN"/>
        </w:rPr>
        <w:t>领导任主任，</w:t>
      </w:r>
      <w:r>
        <w:rPr>
          <w:rFonts w:hint="eastAsia" w:ascii="Times New Roman" w:hAnsi="Times New Roman" w:eastAsia="仿宋_GB2312" w:cs="Times New Roman"/>
          <w:b w:val="0"/>
          <w:bCs w:val="0"/>
          <w:sz w:val="32"/>
          <w:szCs w:val="32"/>
          <w:highlight w:val="none"/>
          <w:lang w:val="en-US" w:eastAsia="zh-CN"/>
        </w:rPr>
        <w:t>财政局主要负责同志任副主任，</w:t>
      </w:r>
      <w:r>
        <w:rPr>
          <w:rFonts w:hint="default" w:ascii="Times New Roman" w:hAnsi="Times New Roman" w:eastAsia="仿宋_GB2312" w:cs="Times New Roman"/>
          <w:b w:val="0"/>
          <w:bCs w:val="0"/>
          <w:sz w:val="32"/>
          <w:szCs w:val="32"/>
          <w:highlight w:val="none"/>
          <w:lang w:val="en-US" w:eastAsia="zh-CN"/>
        </w:rPr>
        <w:t>成员包括财政局、发改委、工信局等师各行业主管部门。</w:t>
      </w:r>
      <w:r>
        <w:rPr>
          <w:rFonts w:hint="eastAsia" w:ascii="Times New Roman" w:hAnsi="Times New Roman" w:eastAsia="仿宋_GB2312" w:cs="Times New Roman"/>
          <w:b w:val="0"/>
          <w:bCs w:val="0"/>
          <w:sz w:val="32"/>
          <w:szCs w:val="32"/>
          <w:highlight w:val="none"/>
          <w:lang w:val="en-US" w:eastAsia="zh-CN"/>
        </w:rPr>
        <w:t>办公室</w:t>
      </w:r>
      <w:r>
        <w:rPr>
          <w:rFonts w:hint="default" w:ascii="Times New Roman" w:hAnsi="Times New Roman" w:eastAsia="仿宋_GB2312" w:cs="Times New Roman"/>
          <w:b w:val="0"/>
          <w:bCs w:val="0"/>
          <w:sz w:val="32"/>
          <w:szCs w:val="32"/>
          <w:highlight w:val="none"/>
          <w:lang w:val="en-US" w:eastAsia="zh-CN"/>
        </w:rPr>
        <w:t>负责：</w:t>
      </w:r>
    </w:p>
    <w:p>
      <w:pPr>
        <w:widowControl w:val="0"/>
        <w:wordWrap/>
        <w:adjustRightInd/>
        <w:snapToGrid/>
        <w:spacing w:line="560" w:lineRule="exact"/>
        <w:ind w:firstLine="640" w:firstLineChars="200"/>
        <w:jc w:val="left"/>
        <w:textAlignment w:val="auto"/>
        <w:rPr>
          <w:rFonts w:hint="default" w:ascii="Times New Roman" w:hAnsi="Times New Roman" w:eastAsia="仿宋_GB2312" w:cs="Times New Roman"/>
          <w:color w:val="auto"/>
          <w:kern w:val="0"/>
          <w:sz w:val="32"/>
          <w:szCs w:val="24"/>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24"/>
          <w:highlight w:val="none"/>
          <w:lang w:val="en-US" w:eastAsia="zh-CN"/>
        </w:rPr>
        <w:t>.确定</w:t>
      </w:r>
      <w:r>
        <w:rPr>
          <w:rFonts w:hint="default" w:ascii="Times New Roman" w:hAnsi="Times New Roman" w:eastAsia="仿宋_GB2312" w:cs="Times New Roman"/>
          <w:sz w:val="32"/>
          <w:szCs w:val="32"/>
          <w:highlight w:val="none"/>
        </w:rPr>
        <w:t>产业引导母基金</w:t>
      </w:r>
      <w:r>
        <w:rPr>
          <w:rFonts w:hint="default" w:ascii="Times New Roman" w:hAnsi="Times New Roman" w:eastAsia="仿宋_GB2312" w:cs="Times New Roman"/>
          <w:color w:val="auto"/>
          <w:kern w:val="0"/>
          <w:sz w:val="32"/>
          <w:szCs w:val="24"/>
          <w:highlight w:val="none"/>
          <w:lang w:val="en-US" w:eastAsia="zh-CN"/>
        </w:rPr>
        <w:t>的投资方向和投资原则；</w:t>
      </w:r>
    </w:p>
    <w:p>
      <w:pPr>
        <w:widowControl w:val="0"/>
        <w:wordWrap/>
        <w:adjustRightInd/>
        <w:snapToGrid/>
        <w:spacing w:line="560" w:lineRule="exact"/>
        <w:ind w:firstLine="640" w:firstLineChars="200"/>
        <w:jc w:val="left"/>
        <w:textAlignment w:val="auto"/>
        <w:rPr>
          <w:rFonts w:hint="default" w:ascii="Times New Roman" w:hAnsi="Times New Roman" w:eastAsia="仿宋_GB2312" w:cs="Times New Roman"/>
          <w:color w:val="auto"/>
          <w:kern w:val="0"/>
          <w:sz w:val="32"/>
          <w:szCs w:val="24"/>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Times New Roman"/>
          <w:color w:val="auto"/>
          <w:kern w:val="0"/>
          <w:sz w:val="32"/>
          <w:szCs w:val="24"/>
          <w:highlight w:val="none"/>
          <w:lang w:val="en-US" w:eastAsia="zh-CN"/>
        </w:rPr>
        <w:t>.负责</w:t>
      </w:r>
      <w:r>
        <w:rPr>
          <w:rFonts w:hint="default" w:ascii="Times New Roman" w:hAnsi="Times New Roman" w:eastAsia="仿宋_GB2312" w:cs="Times New Roman"/>
          <w:sz w:val="32"/>
          <w:szCs w:val="32"/>
          <w:highlight w:val="none"/>
        </w:rPr>
        <w:t>产业引导母基金</w:t>
      </w:r>
      <w:r>
        <w:rPr>
          <w:rFonts w:hint="default" w:ascii="Times New Roman" w:hAnsi="Times New Roman" w:eastAsia="仿宋_GB2312" w:cs="Times New Roman"/>
          <w:color w:val="auto"/>
          <w:kern w:val="0"/>
          <w:sz w:val="32"/>
          <w:szCs w:val="24"/>
          <w:highlight w:val="none"/>
          <w:lang w:val="en-US" w:eastAsia="zh-CN"/>
        </w:rPr>
        <w:t>参股、投资退出等重大事项的审查；</w:t>
      </w:r>
    </w:p>
    <w:p>
      <w:pPr>
        <w:widowControl w:val="0"/>
        <w:wordWrap/>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auto"/>
          <w:kern w:val="0"/>
          <w:sz w:val="32"/>
          <w:szCs w:val="24"/>
          <w:highlight w:val="none"/>
          <w:lang w:val="en-US" w:eastAsia="zh-CN"/>
        </w:rPr>
        <w:t>3.负责</w:t>
      </w:r>
      <w:r>
        <w:rPr>
          <w:rFonts w:hint="default" w:ascii="Times New Roman" w:hAnsi="Times New Roman" w:eastAsia="仿宋_GB2312" w:cs="Times New Roman"/>
          <w:sz w:val="32"/>
          <w:szCs w:val="32"/>
          <w:highlight w:val="none"/>
        </w:rPr>
        <w:t>产业引导母基金</w:t>
      </w:r>
      <w:r>
        <w:rPr>
          <w:rFonts w:hint="default" w:ascii="Times New Roman" w:hAnsi="Times New Roman" w:eastAsia="仿宋_GB2312" w:cs="Times New Roman"/>
          <w:sz w:val="32"/>
          <w:szCs w:val="32"/>
          <w:highlight w:val="none"/>
          <w:lang w:val="en-US" w:eastAsia="zh-CN"/>
        </w:rPr>
        <w:t>直投项目的决策；</w:t>
      </w:r>
    </w:p>
    <w:p>
      <w:pPr>
        <w:widowControl w:val="0"/>
        <w:wordWrap/>
        <w:adjustRightInd/>
        <w:snapToGrid/>
        <w:spacing w:line="560" w:lineRule="exact"/>
        <w:ind w:firstLine="640" w:firstLineChars="200"/>
        <w:jc w:val="left"/>
        <w:textAlignment w:val="auto"/>
        <w:rPr>
          <w:rFonts w:hint="default" w:ascii="Times New Roman" w:hAnsi="Times New Roman" w:eastAsia="仿宋_GB2312" w:cs="Times New Roman"/>
          <w:color w:val="auto"/>
          <w:kern w:val="0"/>
          <w:sz w:val="32"/>
          <w:szCs w:val="24"/>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Times New Roman"/>
          <w:color w:val="auto"/>
          <w:kern w:val="0"/>
          <w:sz w:val="32"/>
          <w:szCs w:val="24"/>
          <w:highlight w:val="none"/>
          <w:lang w:val="en-US" w:eastAsia="zh-CN"/>
        </w:rPr>
        <w:t>.审查批准</w:t>
      </w:r>
      <w:r>
        <w:rPr>
          <w:rFonts w:hint="default" w:ascii="Times New Roman" w:hAnsi="Times New Roman" w:eastAsia="仿宋_GB2312" w:cs="Times New Roman"/>
          <w:sz w:val="32"/>
          <w:szCs w:val="32"/>
          <w:highlight w:val="none"/>
        </w:rPr>
        <w:t>产业引导母基金</w:t>
      </w:r>
      <w:r>
        <w:rPr>
          <w:rFonts w:hint="default" w:ascii="Times New Roman" w:hAnsi="Times New Roman" w:eastAsia="仿宋_GB2312" w:cs="Times New Roman"/>
          <w:color w:val="auto"/>
          <w:kern w:val="0"/>
          <w:sz w:val="32"/>
          <w:szCs w:val="24"/>
          <w:highlight w:val="none"/>
          <w:lang w:val="en-US" w:eastAsia="zh-CN"/>
        </w:rPr>
        <w:t>投资、管理、风险控制、退出和考核等相关制度；</w:t>
      </w:r>
    </w:p>
    <w:p>
      <w:pPr>
        <w:widowControl w:val="0"/>
        <w:wordWrap/>
        <w:adjustRightInd/>
        <w:snapToGrid/>
        <w:spacing w:line="560" w:lineRule="exact"/>
        <w:ind w:firstLine="640" w:firstLineChars="200"/>
        <w:jc w:val="left"/>
        <w:textAlignment w:val="auto"/>
        <w:rPr>
          <w:rFonts w:hint="default" w:ascii="Times New Roman" w:hAnsi="Times New Roman" w:eastAsia="仿宋_GB2312" w:cs="Times New Roman"/>
          <w:color w:val="auto"/>
          <w:kern w:val="0"/>
          <w:sz w:val="32"/>
          <w:szCs w:val="24"/>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5</w:t>
      </w:r>
      <w:r>
        <w:rPr>
          <w:rFonts w:hint="default" w:ascii="Times New Roman" w:hAnsi="Times New Roman" w:eastAsia="仿宋_GB2312" w:cs="Times New Roman"/>
          <w:color w:val="auto"/>
          <w:kern w:val="0"/>
          <w:sz w:val="32"/>
          <w:szCs w:val="24"/>
          <w:highlight w:val="none"/>
          <w:lang w:val="en-US" w:eastAsia="zh-CN"/>
        </w:rPr>
        <w:t>.审议</w:t>
      </w:r>
      <w:r>
        <w:rPr>
          <w:rFonts w:hint="default" w:ascii="Times New Roman" w:hAnsi="Times New Roman" w:eastAsia="仿宋_GB2312" w:cs="Times New Roman"/>
          <w:sz w:val="32"/>
          <w:szCs w:val="32"/>
          <w:highlight w:val="none"/>
        </w:rPr>
        <w:t>产业引导母基金</w:t>
      </w:r>
      <w:r>
        <w:rPr>
          <w:rFonts w:hint="default" w:ascii="Times New Roman" w:hAnsi="Times New Roman" w:eastAsia="仿宋_GB2312" w:cs="Times New Roman"/>
          <w:color w:val="auto"/>
          <w:kern w:val="0"/>
          <w:sz w:val="32"/>
          <w:szCs w:val="24"/>
          <w:highlight w:val="none"/>
          <w:lang w:val="en-US" w:eastAsia="zh-CN"/>
        </w:rPr>
        <w:t>的</w:t>
      </w:r>
      <w:r>
        <w:rPr>
          <w:rFonts w:hint="default" w:ascii="Times New Roman" w:hAnsi="Times New Roman" w:eastAsia="仿宋_GB2312" w:cs="Times New Roman"/>
          <w:color w:val="auto"/>
          <w:sz w:val="32"/>
          <w:szCs w:val="32"/>
          <w:highlight w:val="none"/>
        </w:rPr>
        <w:t>发展规划、</w:t>
      </w:r>
      <w:r>
        <w:rPr>
          <w:rFonts w:hint="default" w:ascii="Times New Roman" w:hAnsi="Times New Roman" w:eastAsia="仿宋_GB2312" w:cs="Times New Roman"/>
          <w:color w:val="auto"/>
          <w:kern w:val="0"/>
          <w:sz w:val="32"/>
          <w:szCs w:val="24"/>
          <w:highlight w:val="none"/>
          <w:lang w:val="en-US" w:eastAsia="zh-CN"/>
        </w:rPr>
        <w:t>年度投资计划、投资运作报告、资金使用报告、年度工作总结报告、</w:t>
      </w:r>
      <w:r>
        <w:rPr>
          <w:rFonts w:hint="default" w:ascii="Times New Roman" w:hAnsi="Times New Roman" w:eastAsia="仿宋_GB2312" w:cs="Times New Roman"/>
          <w:color w:val="auto"/>
          <w:kern w:val="0"/>
          <w:sz w:val="32"/>
          <w:szCs w:val="24"/>
          <w:highlight w:val="none"/>
          <w:lang w:eastAsia="zh-CN"/>
        </w:rPr>
        <w:t>基金绩效评价报告</w:t>
      </w:r>
      <w:r>
        <w:rPr>
          <w:rFonts w:hint="default" w:ascii="Times New Roman" w:hAnsi="Times New Roman" w:eastAsia="仿宋_GB2312" w:cs="Times New Roman"/>
          <w:color w:val="auto"/>
          <w:kern w:val="0"/>
          <w:sz w:val="32"/>
          <w:szCs w:val="24"/>
          <w:highlight w:val="none"/>
          <w:lang w:val="en-US" w:eastAsia="zh-CN"/>
        </w:rPr>
        <w:t>；</w:t>
      </w:r>
    </w:p>
    <w:p>
      <w:pPr>
        <w:widowControl w:val="0"/>
        <w:wordWrap/>
        <w:adjustRightInd/>
        <w:snapToGrid/>
        <w:spacing w:line="560" w:lineRule="exact"/>
        <w:ind w:firstLine="640" w:firstLineChars="200"/>
        <w:jc w:val="left"/>
        <w:textAlignment w:val="auto"/>
        <w:rPr>
          <w:rFonts w:hint="default" w:ascii="Times New Roman" w:hAnsi="Times New Roman" w:eastAsia="仿宋_GB2312" w:cs="Times New Roman"/>
          <w:color w:val="auto"/>
          <w:kern w:val="0"/>
          <w:sz w:val="32"/>
          <w:szCs w:val="24"/>
          <w:highlight w:val="none"/>
          <w:lang w:val="en-US" w:eastAsia="zh-CN"/>
        </w:rPr>
      </w:pPr>
      <w:r>
        <w:rPr>
          <w:rFonts w:hint="default" w:ascii="Times New Roman" w:hAnsi="Times New Roman" w:eastAsia="仿宋_GB2312" w:cs="Times New Roman"/>
          <w:color w:val="auto"/>
          <w:kern w:val="0"/>
          <w:sz w:val="32"/>
          <w:szCs w:val="24"/>
          <w:highlight w:val="none"/>
          <w:lang w:val="en-US" w:eastAsia="zh-CN"/>
        </w:rPr>
        <w:t>6.统筹协调</w:t>
      </w:r>
      <w:r>
        <w:rPr>
          <w:rFonts w:hint="default" w:ascii="Times New Roman" w:hAnsi="Times New Roman" w:eastAsia="仿宋_GB2312" w:cs="Times New Roman"/>
          <w:sz w:val="32"/>
          <w:szCs w:val="32"/>
          <w:highlight w:val="none"/>
        </w:rPr>
        <w:t>产业引导母基金</w:t>
      </w:r>
      <w:r>
        <w:rPr>
          <w:rFonts w:hint="default" w:ascii="Times New Roman" w:hAnsi="Times New Roman" w:eastAsia="仿宋_GB2312" w:cs="Times New Roman"/>
          <w:color w:val="auto"/>
          <w:kern w:val="0"/>
          <w:sz w:val="32"/>
          <w:szCs w:val="24"/>
          <w:highlight w:val="none"/>
          <w:lang w:val="en-US" w:eastAsia="zh-CN"/>
        </w:rPr>
        <w:t>筹建工作；</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7.将基金相关议题形成提案报师党委常委会审议。</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各相关部门（单位）按照职能分工分别承担以下职责：</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（一）</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为产业引导母基金牵头管理部门，代表十二师履行产业引导母基金出资人职责；根据预算相关法规制度的规定，充分考虑财政承受能力，合理确定财政对基金的投入规模，负责产业引导母基金制度建设、产业引导母基金绩效评价；对产业引导母基金运行情况进行统计备案；做好对该基金</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监管</w:t>
      </w:r>
      <w:r>
        <w:rPr>
          <w:rFonts w:hint="default" w:ascii="Times New Roman" w:hAnsi="Times New Roman" w:eastAsia="仿宋_GB2312" w:cs="Times New Roman"/>
          <w:sz w:val="32"/>
          <w:szCs w:val="32"/>
          <w:highlight w:val="none"/>
          <w:lang w:val="en-US" w:eastAsia="zh-CN"/>
        </w:rPr>
        <w:t>和指导</w:t>
      </w:r>
      <w:r>
        <w:rPr>
          <w:rFonts w:hint="default" w:ascii="Times New Roman" w:hAnsi="Times New Roman" w:eastAsia="仿宋_GB2312" w:cs="Times New Roman"/>
          <w:sz w:val="32"/>
          <w:szCs w:val="32"/>
          <w:highlight w:val="none"/>
        </w:rPr>
        <w:t>、建立健全该基金对实体经济的支持机制，推动十二师产业发展。</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（二）</w:t>
      </w:r>
      <w:r>
        <w:rPr>
          <w:rFonts w:hint="default" w:ascii="Times New Roman" w:hAnsi="Times New Roman" w:eastAsia="仿宋_GB2312" w:cs="Times New Roman"/>
          <w:sz w:val="32"/>
          <w:szCs w:val="32"/>
          <w:highlight w:val="none"/>
        </w:rPr>
        <w:t>师各产业主管部门做好主管领域内拟设参股基金事前绩效评估，制定该基金支持项目的绩效目标和指标，并落实绩效监控；做好主管领域内重点项目储备并向产业引导母基金受托管理机构开放项目库，推介领域内项目。</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（三）</w:t>
      </w:r>
      <w:r>
        <w:rPr>
          <w:rFonts w:hint="default" w:ascii="Times New Roman" w:hAnsi="Times New Roman" w:eastAsia="仿宋_GB2312" w:cs="Times New Roman"/>
          <w:sz w:val="32"/>
          <w:szCs w:val="32"/>
          <w:highlight w:val="none"/>
        </w:rPr>
        <w:t>师投资促进和招商引资部门负责做好基金招商引资项目对接工作，推动基金赋能产业高质量发展，统筹推进优质项目落户。</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第七条</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val="en-US" w:eastAsia="zh-CN"/>
        </w:rPr>
        <w:t>按照</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公开、公平、公正</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的原则，通过公开招投标，选择专业化、市场化的基金管理人</w:t>
      </w:r>
      <w:r>
        <w:rPr>
          <w:rFonts w:hint="default" w:ascii="Times New Roman" w:hAnsi="Times New Roman" w:eastAsia="仿宋_GB2312" w:cs="Times New Roman"/>
          <w:sz w:val="32"/>
          <w:szCs w:val="32"/>
          <w:highlight w:val="none"/>
        </w:rPr>
        <w:t>。负责产业引导母基金日常管理运营，在</w:t>
      </w:r>
      <w:r>
        <w:rPr>
          <w:rFonts w:hint="eastAsia" w:ascii="Times New Roman" w:hAnsi="Times New Roman" w:eastAsia="仿宋_GB2312" w:cs="Times New Roman"/>
          <w:sz w:val="32"/>
          <w:szCs w:val="32"/>
          <w:highlight w:val="none"/>
          <w:lang w:val="en-US" w:eastAsia="zh-CN"/>
        </w:rPr>
        <w:t>办公室</w:t>
      </w:r>
      <w:r>
        <w:rPr>
          <w:rFonts w:hint="default" w:ascii="Times New Roman" w:hAnsi="Times New Roman" w:eastAsia="仿宋_GB2312" w:cs="Times New Roman"/>
          <w:sz w:val="32"/>
          <w:szCs w:val="32"/>
          <w:highlight w:val="none"/>
        </w:rPr>
        <w:t>和行业监管部门领导下，通过参股方式与其他资本合作设立子基金；</w:t>
      </w:r>
      <w:r>
        <w:rPr>
          <w:rFonts w:hint="default" w:ascii="Times New Roman" w:hAnsi="Times New Roman" w:eastAsia="仿宋_GB2312" w:cs="Times New Roman"/>
          <w:sz w:val="32"/>
          <w:szCs w:val="32"/>
          <w:highlight w:val="none"/>
          <w:lang w:val="en-US" w:eastAsia="zh-CN"/>
        </w:rPr>
        <w:t>负责产业引导母基金直投项目相关投资事宜；</w:t>
      </w:r>
      <w:r>
        <w:rPr>
          <w:rFonts w:hint="default" w:ascii="Times New Roman" w:hAnsi="Times New Roman" w:eastAsia="仿宋_GB2312" w:cs="Times New Roman"/>
          <w:sz w:val="32"/>
          <w:szCs w:val="32"/>
          <w:highlight w:val="none"/>
        </w:rPr>
        <w:t>负责产业引导母基金绩效自评，监督参股基金规范运营；对引导母基金进行专户管理、专账核算；按季度向</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（金融办）报送产业引导母基金和子基金运作情况及其他重大事项。</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第八条</w:t>
      </w:r>
      <w:r>
        <w:rPr>
          <w:rFonts w:hint="default" w:ascii="Times New Roman" w:hAnsi="Times New Roman" w:eastAsia="仿宋_GB2312" w:cs="Times New Roman"/>
          <w:sz w:val="32"/>
          <w:szCs w:val="32"/>
          <w:highlight w:val="none"/>
        </w:rPr>
        <w:t xml:space="preserve"> 师</w:t>
      </w:r>
      <w:r>
        <w:rPr>
          <w:rFonts w:hint="default" w:ascii="Times New Roman" w:hAnsi="Times New Roman" w:eastAsia="仿宋_GB2312" w:cs="Times New Roman"/>
          <w:sz w:val="32"/>
          <w:szCs w:val="32"/>
          <w:highlight w:val="none"/>
          <w:lang w:val="en-US" w:eastAsia="zh-CN"/>
        </w:rPr>
        <w:t>各部门、</w:t>
      </w:r>
      <w:r>
        <w:rPr>
          <w:rFonts w:hint="default" w:ascii="Times New Roman" w:hAnsi="Times New Roman" w:eastAsia="仿宋_GB2312" w:cs="Times New Roman"/>
          <w:sz w:val="32"/>
          <w:szCs w:val="32"/>
          <w:highlight w:val="none"/>
        </w:rPr>
        <w:t>各团场、</w:t>
      </w:r>
      <w:r>
        <w:rPr>
          <w:rFonts w:hint="default" w:ascii="Times New Roman" w:hAnsi="Times New Roman" w:eastAsia="仿宋_GB2312" w:cs="Times New Roman"/>
          <w:sz w:val="32"/>
          <w:szCs w:val="32"/>
          <w:highlight w:val="none"/>
          <w:lang w:val="en-US" w:eastAsia="zh-CN"/>
        </w:rPr>
        <w:t>经开区和师属</w:t>
      </w:r>
      <w:r>
        <w:rPr>
          <w:rFonts w:hint="default" w:ascii="Times New Roman" w:hAnsi="Times New Roman" w:eastAsia="仿宋_GB2312" w:cs="Times New Roman"/>
          <w:sz w:val="32"/>
          <w:szCs w:val="32"/>
          <w:highlight w:val="none"/>
        </w:rPr>
        <w:t>企业应当推动建立基金重点项目库和项目筛选评价机制，根据政策必要性和市场投资可行性，对基金拟投项目实施综合评定，配合提高产业引导母基金对项目的控制能力。</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第四章 母基金设立</w:t>
      </w:r>
    </w:p>
    <w:p>
      <w:pPr>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第九条 </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联合师属国有企业、运用市场化方式设立产业引导母基金。</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统筹财政资金作为政府出资，通过师授权的政府出资方代表</w:t>
      </w:r>
      <w:r>
        <w:rPr>
          <w:rFonts w:hint="default" w:ascii="Times New Roman" w:hAnsi="Times New Roman" w:eastAsia="仿宋_GB2312" w:cs="Times New Roman"/>
          <w:sz w:val="32"/>
          <w:szCs w:val="32"/>
          <w:highlight w:val="none"/>
          <w:lang w:val="en-US" w:eastAsia="zh-CN"/>
        </w:rPr>
        <w:t>新疆天融通投资管理有限公司设立的新疆天融通创业投资有限责任公司对产业引导母基金出资，出资比例不</w:t>
      </w:r>
      <w:r>
        <w:rPr>
          <w:rFonts w:hint="eastAsia" w:ascii="Times New Roman" w:hAnsi="Times New Roman" w:eastAsia="仿宋_GB2312" w:cs="Times New Roman"/>
          <w:sz w:val="32"/>
          <w:szCs w:val="32"/>
          <w:highlight w:val="none"/>
          <w:lang w:val="en-US" w:eastAsia="zh-CN"/>
        </w:rPr>
        <w:t>超过</w:t>
      </w:r>
      <w:r>
        <w:rPr>
          <w:rFonts w:hint="default" w:ascii="Times New Roman" w:hAnsi="Times New Roman" w:eastAsia="仿宋_GB2312" w:cs="Times New Roman"/>
          <w:sz w:val="32"/>
          <w:szCs w:val="32"/>
          <w:highlight w:val="none"/>
          <w:lang w:val="en-US" w:eastAsia="zh-CN"/>
        </w:rPr>
        <w:t>10%；由师属国有企业</w:t>
      </w:r>
      <w:r>
        <w:rPr>
          <w:rFonts w:hint="default" w:ascii="Times New Roman" w:hAnsi="Times New Roman" w:eastAsia="仿宋_GB2312" w:cs="Times New Roman"/>
          <w:sz w:val="32"/>
          <w:szCs w:val="32"/>
          <w:highlight w:val="none"/>
        </w:rPr>
        <w:t>作为</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的有限合伙人（LP）</w:t>
      </w:r>
      <w:r>
        <w:rPr>
          <w:rFonts w:hint="default" w:ascii="Times New Roman" w:hAnsi="Times New Roman" w:eastAsia="仿宋_GB2312" w:cs="Times New Roman"/>
          <w:sz w:val="32"/>
          <w:szCs w:val="32"/>
          <w:highlight w:val="none"/>
          <w:lang w:val="en-US" w:eastAsia="zh-CN"/>
        </w:rPr>
        <w:t>出资比例90%；为积极引导师属国有企业参与产业引导母基金运作，</w:t>
      </w:r>
      <w:r>
        <w:rPr>
          <w:rFonts w:hint="eastAsia" w:ascii="Times New Roman" w:hAnsi="Times New Roman" w:eastAsia="仿宋_GB2312" w:cs="Times New Roman"/>
          <w:sz w:val="32"/>
          <w:szCs w:val="32"/>
          <w:highlight w:val="none"/>
          <w:lang w:val="en-US" w:eastAsia="zh-CN"/>
        </w:rPr>
        <w:t>师财政局（国资委、金融办）</w:t>
      </w:r>
      <w:r>
        <w:rPr>
          <w:rFonts w:hint="default" w:ascii="Times New Roman" w:hAnsi="Times New Roman" w:eastAsia="仿宋_GB2312" w:cs="Times New Roman"/>
          <w:sz w:val="32"/>
          <w:szCs w:val="32"/>
          <w:highlight w:val="none"/>
          <w:lang w:val="en-US" w:eastAsia="zh-CN"/>
        </w:rPr>
        <w:t>统筹安排财政资金，按照师属国有企业向产业引导母基金实际出资金额的10%给予资本金支持</w:t>
      </w:r>
      <w:r>
        <w:rPr>
          <w:rFonts w:hint="default" w:ascii="Times New Roman" w:hAnsi="Times New Roman" w:eastAsia="仿宋_GB2312" w:cs="Times New Roman"/>
          <w:sz w:val="32"/>
          <w:szCs w:val="32"/>
          <w:highlight w:val="none"/>
        </w:rPr>
        <w:t>。</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第十条</w:t>
      </w:r>
      <w:r>
        <w:rPr>
          <w:rFonts w:hint="default" w:ascii="Times New Roman" w:hAnsi="Times New Roman" w:eastAsia="仿宋_GB2312" w:cs="Times New Roman"/>
          <w:sz w:val="32"/>
          <w:szCs w:val="32"/>
          <w:highlight w:val="none"/>
        </w:rPr>
        <w:t xml:space="preserve"> 产业引导母基金应</w:t>
      </w:r>
      <w:r>
        <w:rPr>
          <w:rFonts w:hint="eastAsia" w:ascii="Times New Roman" w:hAnsi="Times New Roman" w:eastAsia="仿宋_GB2312" w:cs="Times New Roman"/>
          <w:sz w:val="32"/>
          <w:szCs w:val="32"/>
          <w:highlight w:val="none"/>
          <w:lang w:val="en-US" w:eastAsia="zh-CN"/>
        </w:rPr>
        <w:t>合法、合规</w:t>
      </w:r>
      <w:r>
        <w:rPr>
          <w:rFonts w:hint="default" w:ascii="Times New Roman" w:hAnsi="Times New Roman" w:eastAsia="仿宋_GB2312" w:cs="Times New Roman"/>
          <w:sz w:val="32"/>
          <w:szCs w:val="32"/>
          <w:highlight w:val="none"/>
        </w:rPr>
        <w:t>注册。</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w:t>
      </w:r>
      <w:r>
        <w:rPr>
          <w:rFonts w:hint="default" w:ascii="Times New Roman" w:hAnsi="Times New Roman" w:eastAsia="仿宋_GB2312" w:cs="Times New Roman"/>
          <w:b/>
          <w:bCs/>
          <w:sz w:val="32"/>
          <w:szCs w:val="32"/>
          <w:highlight w:val="none"/>
          <w:lang w:val="en-US" w:eastAsia="zh-CN"/>
        </w:rPr>
        <w:t>一</w:t>
      </w:r>
      <w:r>
        <w:rPr>
          <w:rFonts w:hint="default" w:ascii="Times New Roman" w:hAnsi="Times New Roman" w:eastAsia="仿宋_GB2312" w:cs="Times New Roman"/>
          <w:b/>
          <w:bCs/>
          <w:sz w:val="32"/>
          <w:szCs w:val="32"/>
          <w:highlight w:val="none"/>
        </w:rPr>
        <w:t>条</w:t>
      </w:r>
      <w:r>
        <w:rPr>
          <w:rFonts w:hint="default" w:ascii="Times New Roman" w:hAnsi="Times New Roman" w:eastAsia="仿宋_GB2312" w:cs="Times New Roman"/>
          <w:sz w:val="32"/>
          <w:szCs w:val="32"/>
          <w:highlight w:val="none"/>
        </w:rPr>
        <w:t xml:space="preserve"> 母基金存续期原则上不少于20年，投资期原则上不少于</w:t>
      </w:r>
      <w:r>
        <w:rPr>
          <w:rFonts w:hint="default" w:ascii="Times New Roman" w:hAnsi="Times New Roman" w:eastAsia="仿宋_GB2312" w:cs="Times New Roman"/>
          <w:sz w:val="32"/>
          <w:szCs w:val="32"/>
          <w:highlight w:val="none"/>
          <w:lang w:val="en-US" w:eastAsia="zh-CN"/>
        </w:rPr>
        <w:t>15</w:t>
      </w:r>
      <w:r>
        <w:rPr>
          <w:rFonts w:hint="default" w:ascii="Times New Roman" w:hAnsi="Times New Roman" w:eastAsia="仿宋_GB2312" w:cs="Times New Roman"/>
          <w:sz w:val="32"/>
          <w:szCs w:val="32"/>
          <w:highlight w:val="none"/>
        </w:rPr>
        <w:t>年，并约定可行的退出机制。各出资人须按出资计划认真履行出资义务及时出资到位。</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w:t>
      </w:r>
      <w:r>
        <w:rPr>
          <w:rFonts w:hint="default" w:ascii="Times New Roman" w:hAnsi="Times New Roman" w:eastAsia="仿宋_GB2312" w:cs="Times New Roman"/>
          <w:b/>
          <w:bCs/>
          <w:sz w:val="32"/>
          <w:szCs w:val="32"/>
          <w:highlight w:val="none"/>
          <w:lang w:val="en-US" w:eastAsia="zh-CN"/>
        </w:rPr>
        <w:t>二</w:t>
      </w:r>
      <w:r>
        <w:rPr>
          <w:rFonts w:hint="default" w:ascii="Times New Roman" w:hAnsi="Times New Roman" w:eastAsia="仿宋_GB2312" w:cs="Times New Roman"/>
          <w:b/>
          <w:bCs/>
          <w:sz w:val="32"/>
          <w:szCs w:val="32"/>
          <w:highlight w:val="none"/>
        </w:rPr>
        <w:t xml:space="preserve">条 </w:t>
      </w:r>
      <w:r>
        <w:rPr>
          <w:rFonts w:hint="default" w:ascii="Times New Roman" w:hAnsi="Times New Roman" w:eastAsia="仿宋_GB2312" w:cs="Times New Roman"/>
          <w:sz w:val="32"/>
          <w:szCs w:val="32"/>
          <w:highlight w:val="none"/>
        </w:rPr>
        <w:t>产业引导母基金按年向基金管理人支付管理费，管理费按照实际出资比例与其他合伙人共同商议确定。</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第五章 投资原则及认定</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w:t>
      </w:r>
      <w:r>
        <w:rPr>
          <w:rFonts w:hint="default" w:ascii="Times New Roman" w:hAnsi="Times New Roman" w:eastAsia="仿宋_GB2312" w:cs="Times New Roman"/>
          <w:b/>
          <w:bCs/>
          <w:sz w:val="32"/>
          <w:szCs w:val="32"/>
          <w:highlight w:val="none"/>
          <w:lang w:val="en-US" w:eastAsia="zh-CN"/>
        </w:rPr>
        <w:t>三</w:t>
      </w:r>
      <w:r>
        <w:rPr>
          <w:rFonts w:hint="default" w:ascii="Times New Roman" w:hAnsi="Times New Roman" w:eastAsia="仿宋_GB2312" w:cs="Times New Roman"/>
          <w:b/>
          <w:bCs/>
          <w:sz w:val="32"/>
          <w:szCs w:val="32"/>
          <w:highlight w:val="none"/>
        </w:rPr>
        <w:t xml:space="preserve">条 </w:t>
      </w:r>
      <w:r>
        <w:rPr>
          <w:rFonts w:hint="default" w:ascii="Times New Roman" w:hAnsi="Times New Roman" w:eastAsia="仿宋_GB2312" w:cs="Times New Roman"/>
          <w:sz w:val="32"/>
          <w:szCs w:val="32"/>
          <w:highlight w:val="none"/>
        </w:rPr>
        <w:t>原则上产业引导母基金对单个子基金的出资占比原则上不得超过子基金规模的</w:t>
      </w:r>
      <w:r>
        <w:rPr>
          <w:rFonts w:hint="default" w:ascii="Times New Roman" w:hAnsi="Times New Roman" w:eastAsia="仿宋_GB2312" w:cs="Times New Roman"/>
          <w:sz w:val="32"/>
          <w:szCs w:val="32"/>
          <w:highlight w:val="none"/>
          <w:lang w:val="en-US" w:eastAsia="zh-CN"/>
        </w:rPr>
        <w:t>40</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对单一子基金的投资额不得超过引导母基金认缴规模的20%。</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经</w:t>
      </w:r>
      <w:r>
        <w:rPr>
          <w:rFonts w:hint="eastAsia" w:ascii="Times New Roman" w:hAnsi="Times New Roman" w:eastAsia="仿宋_GB2312" w:cs="Times New Roman"/>
          <w:sz w:val="32"/>
          <w:szCs w:val="32"/>
          <w:highlight w:val="none"/>
          <w:lang w:val="en-US" w:eastAsia="zh-CN"/>
        </w:rPr>
        <w:t>办公室</w:t>
      </w:r>
      <w:r>
        <w:rPr>
          <w:rFonts w:hint="default" w:ascii="Times New Roman" w:hAnsi="Times New Roman" w:eastAsia="仿宋_GB2312" w:cs="Times New Roman"/>
          <w:sz w:val="32"/>
          <w:szCs w:val="32"/>
          <w:highlight w:val="none"/>
        </w:rPr>
        <w:t>批准，母基金投资参股天使投资基金、创业投资基金、科技成果转化基金等，母基金对上述子基金的出资占比可放宽至50%</w:t>
      </w:r>
      <w:r>
        <w:rPr>
          <w:rFonts w:hint="default" w:ascii="Times New Roman" w:hAnsi="Times New Roman" w:eastAsia="仿宋_GB2312" w:cs="Times New Roman"/>
          <w:sz w:val="32"/>
          <w:szCs w:val="32"/>
          <w:highlight w:val="none"/>
          <w:lang w:val="en-US" w:eastAsia="zh-CN"/>
        </w:rPr>
        <w:t>以上</w:t>
      </w:r>
      <w:r>
        <w:rPr>
          <w:rFonts w:hint="default" w:ascii="Times New Roman" w:hAnsi="Times New Roman" w:eastAsia="仿宋_GB2312" w:cs="Times New Roman"/>
          <w:sz w:val="32"/>
          <w:szCs w:val="32"/>
          <w:highlight w:val="none"/>
        </w:rPr>
        <w:t>。</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直接投资项目公司的，投资资金原则上不超过</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认缴规模的20%，在项目公司的持股比例原则上不超过30%，且不为第一大股东。</w:t>
      </w:r>
      <w:bookmarkStart w:id="0" w:name="_GoBack"/>
      <w:bookmarkEnd w:id="0"/>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母基金管理人根据</w:t>
      </w:r>
      <w:r>
        <w:rPr>
          <w:rFonts w:hint="eastAsia" w:ascii="Times New Roman" w:hAnsi="Times New Roman" w:eastAsia="仿宋_GB2312" w:cs="Times New Roman"/>
          <w:sz w:val="32"/>
          <w:szCs w:val="32"/>
          <w:highlight w:val="none"/>
          <w:lang w:val="en-US" w:eastAsia="zh-CN"/>
        </w:rPr>
        <w:t>办公室</w:t>
      </w:r>
      <w:r>
        <w:rPr>
          <w:rFonts w:hint="default" w:ascii="Times New Roman" w:hAnsi="Times New Roman" w:eastAsia="仿宋_GB2312" w:cs="Times New Roman"/>
          <w:sz w:val="32"/>
          <w:szCs w:val="32"/>
          <w:highlight w:val="none"/>
        </w:rPr>
        <w:t>确定的支持重点产业领域和申报要求，会同子基金主要合伙人对外公开征集、遴选子基金管理机构。</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b/>
          <w:bCs/>
          <w:sz w:val="32"/>
          <w:szCs w:val="32"/>
          <w:highlight w:val="none"/>
          <w:u w:val="none"/>
          <w:lang w:val="en-US" w:eastAsia="zh-CN"/>
        </w:rPr>
        <w:t>第十四条</w:t>
      </w:r>
      <w:r>
        <w:rPr>
          <w:rFonts w:hint="default" w:ascii="Times New Roman" w:hAnsi="Times New Roman" w:eastAsia="仿宋_GB2312" w:cs="Times New Roman"/>
          <w:sz w:val="32"/>
          <w:szCs w:val="32"/>
          <w:highlight w:val="none"/>
          <w:u w:val="none"/>
          <w:lang w:val="en-US" w:eastAsia="zh-CN"/>
        </w:rPr>
        <w:t xml:space="preserve"> </w:t>
      </w:r>
      <w:r>
        <w:rPr>
          <w:rFonts w:hint="default" w:ascii="Times New Roman" w:hAnsi="Times New Roman" w:eastAsia="仿宋_GB2312" w:cs="Times New Roman"/>
          <w:sz w:val="32"/>
          <w:szCs w:val="32"/>
          <w:highlight w:val="none"/>
          <w:u w:val="none"/>
        </w:rPr>
        <w:t>产业引导母基金投资十二师辖区企业，子基金投资在第十二师注册登记的企业和项目资金规模原则上返投比不低于1.2倍</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color w:val="000000"/>
          <w:sz w:val="32"/>
          <w:szCs w:val="32"/>
          <w:highlight w:val="none"/>
          <w:u w:val="none"/>
        </w:rPr>
        <w:t>以下情形均可认定为投资</w:t>
      </w:r>
      <w:r>
        <w:rPr>
          <w:rFonts w:hint="default" w:ascii="Times New Roman" w:hAnsi="Times New Roman" w:eastAsia="仿宋_GB2312" w:cs="Times New Roman"/>
          <w:color w:val="000000"/>
          <w:sz w:val="32"/>
          <w:szCs w:val="32"/>
          <w:highlight w:val="none"/>
          <w:u w:val="none"/>
          <w:lang w:val="en-US" w:eastAsia="zh-CN"/>
        </w:rPr>
        <w:t>十二师</w:t>
      </w:r>
      <w:r>
        <w:rPr>
          <w:rFonts w:hint="default" w:ascii="Times New Roman" w:hAnsi="Times New Roman" w:eastAsia="仿宋_GB2312" w:cs="Times New Roman"/>
          <w:color w:val="000000"/>
          <w:sz w:val="32"/>
          <w:szCs w:val="32"/>
          <w:highlight w:val="none"/>
          <w:u w:val="none"/>
        </w:rPr>
        <w:t>企业的资金：</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1.子基金投资</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的资金，是指被投资企业的注册地、重要生产经营地或者主要产品研发地位于</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范围内；与被投资企业生产经营关系紧密的子公司或分公司位于</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范围内；被投资企业在获得投资后，在基金存续期限内将注册地、重要生产经营地、主要产品研发地或者与生产经营关系紧密的子公司或分公司设立或迁入</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范围内</w:t>
      </w:r>
      <w:r>
        <w:rPr>
          <w:rFonts w:hint="eastAsia" w:ascii="Times New Roman" w:hAnsi="Times New Roman" w:eastAsia="仿宋_GB2312" w:cs="Times New Roman"/>
          <w:color w:val="000000"/>
          <w:sz w:val="32"/>
          <w:szCs w:val="32"/>
          <w:highlight w:val="none"/>
          <w:u w:val="none"/>
          <w:lang w:eastAsia="zh-CN"/>
        </w:rPr>
        <w:t>；在</w:t>
      </w:r>
      <w:r>
        <w:rPr>
          <w:rFonts w:hint="default" w:ascii="Times New Roman" w:hAnsi="Times New Roman" w:eastAsia="仿宋_GB2312" w:cs="Times New Roman"/>
          <w:color w:val="000000"/>
          <w:sz w:val="32"/>
          <w:szCs w:val="32"/>
          <w:highlight w:val="none"/>
          <w:u w:val="none"/>
        </w:rPr>
        <w:t>基金存续期限内，被投资企业被</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内注册的企业收购。</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2.子基金管理人及其关联方投资于</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内已有企业的资金匡算方式包括但不限于：以新增股本方式投资本地已有企业的，若为非控股投资本地企业的，以投资额计算投资金额；若为控股投资本地企业的，以投后所控股公司当年经审计的财务报告显示的净资产额与企业实收资本额孰高计算投资金额。以投资新增固定资产在本地投资的，以增加固定资产投资额计算投资金额。</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u w:val="none"/>
        </w:rPr>
      </w:pPr>
      <w:r>
        <w:rPr>
          <w:rFonts w:hint="default" w:ascii="Times New Roman" w:hAnsi="Times New Roman" w:eastAsia="仿宋_GB2312" w:cs="Times New Roman"/>
          <w:color w:val="000000"/>
          <w:sz w:val="32"/>
          <w:szCs w:val="32"/>
          <w:highlight w:val="none"/>
          <w:u w:val="none"/>
        </w:rPr>
        <w:t>3.子基金管理人及其关联方通过投资活动吸引外地企业迁入</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内或在</w:t>
      </w:r>
      <w:r>
        <w:rPr>
          <w:rFonts w:hint="default" w:ascii="Times New Roman" w:hAnsi="Times New Roman" w:eastAsia="仿宋_GB2312" w:cs="Times New Roman"/>
          <w:color w:val="000000"/>
          <w:sz w:val="32"/>
          <w:szCs w:val="32"/>
          <w:highlight w:val="none"/>
          <w:u w:val="none"/>
          <w:lang w:eastAsia="zh-CN"/>
        </w:rPr>
        <w:t>十二师</w:t>
      </w:r>
      <w:r>
        <w:rPr>
          <w:rFonts w:hint="default" w:ascii="Times New Roman" w:hAnsi="Times New Roman" w:eastAsia="仿宋_GB2312" w:cs="Times New Roman"/>
          <w:color w:val="000000"/>
          <w:sz w:val="32"/>
          <w:szCs w:val="32"/>
          <w:highlight w:val="none"/>
          <w:u w:val="none"/>
        </w:rPr>
        <w:t>内新增投资项目、新设企业的，子基金管理人及其关联方发挥主要作用并提供有效证明材料的，相关项目的实际投资额以企业迁址或新设公司当年经审计的财务报告显示的净资产额与企业实收资本额孰高计算，或以新增项目投资额计算。</w:t>
      </w:r>
    </w:p>
    <w:p>
      <w:pPr>
        <w:pStyle w:val="2"/>
        <w:widowControl w:val="0"/>
        <w:numPr>
          <w:ilvl w:val="0"/>
          <w:numId w:val="0"/>
        </w:numPr>
        <w:wordWrap/>
        <w:adjustRightInd/>
        <w:snapToGrid/>
        <w:spacing w:line="560" w:lineRule="exact"/>
        <w:ind w:firstLine="643" w:firstLineChars="200"/>
        <w:jc w:val="both"/>
        <w:textAlignment w:val="auto"/>
        <w:rPr>
          <w:rFonts w:hint="default" w:ascii="Times New Roman" w:hAnsi="Times New Roman" w:eastAsia="仿宋_GB2312" w:cs="Times New Roman"/>
          <w:b w:val="0"/>
          <w:kern w:val="2"/>
          <w:sz w:val="32"/>
          <w:szCs w:val="32"/>
          <w:highlight w:val="none"/>
          <w:u w:val="none"/>
        </w:rPr>
      </w:pPr>
      <w:r>
        <w:rPr>
          <w:rFonts w:hint="default" w:ascii="Times New Roman" w:hAnsi="Times New Roman" w:eastAsia="仿宋_GB2312" w:cs="Times New Roman"/>
          <w:b/>
          <w:bCs/>
          <w:sz w:val="32"/>
          <w:szCs w:val="32"/>
          <w:highlight w:val="none"/>
          <w:u w:val="none"/>
        </w:rPr>
        <w:t>第十</w:t>
      </w:r>
      <w:r>
        <w:rPr>
          <w:rFonts w:hint="default" w:ascii="Times New Roman" w:hAnsi="Times New Roman" w:eastAsia="仿宋_GB2312" w:cs="Times New Roman"/>
          <w:b/>
          <w:bCs/>
          <w:sz w:val="32"/>
          <w:szCs w:val="32"/>
          <w:highlight w:val="none"/>
          <w:u w:val="none"/>
          <w:lang w:val="en-US" w:eastAsia="zh-CN"/>
        </w:rPr>
        <w:t>五</w:t>
      </w:r>
      <w:r>
        <w:rPr>
          <w:rFonts w:hint="default" w:ascii="Times New Roman" w:hAnsi="Times New Roman" w:eastAsia="仿宋_GB2312" w:cs="Times New Roman"/>
          <w:b/>
          <w:bCs/>
          <w:sz w:val="32"/>
          <w:szCs w:val="32"/>
          <w:highlight w:val="none"/>
          <w:u w:val="none"/>
        </w:rPr>
        <w:t>条</w:t>
      </w:r>
      <w:r>
        <w:rPr>
          <w:rFonts w:hint="default" w:ascii="Times New Roman" w:hAnsi="Times New Roman" w:eastAsia="仿宋_GB2312" w:cs="Times New Roman"/>
          <w:b/>
          <w:bCs/>
          <w:sz w:val="32"/>
          <w:szCs w:val="32"/>
          <w:highlight w:val="none"/>
          <w:u w:val="none"/>
          <w:lang w:val="en-US" w:eastAsia="zh-CN"/>
        </w:rPr>
        <w:t xml:space="preserve"> </w:t>
      </w:r>
      <w:r>
        <w:rPr>
          <w:rFonts w:hint="default" w:ascii="Times New Roman" w:hAnsi="Times New Roman" w:eastAsia="仿宋_GB2312" w:cs="Times New Roman"/>
          <w:b w:val="0"/>
          <w:kern w:val="2"/>
          <w:sz w:val="32"/>
          <w:szCs w:val="32"/>
          <w:highlight w:val="none"/>
          <w:u w:val="none"/>
        </w:rPr>
        <w:t>产业引导母基金和其他社会出资人按照协议约定，遵循</w:t>
      </w:r>
      <w:r>
        <w:rPr>
          <w:rFonts w:hint="eastAsia" w:ascii="Times New Roman" w:hAnsi="Times New Roman" w:eastAsia="仿宋_GB2312" w:cs="Times New Roman"/>
          <w:b w:val="0"/>
          <w:kern w:val="2"/>
          <w:sz w:val="32"/>
          <w:szCs w:val="32"/>
          <w:highlight w:val="none"/>
          <w:u w:val="none"/>
          <w:lang w:eastAsia="zh-CN"/>
        </w:rPr>
        <w:t>“</w:t>
      </w:r>
      <w:r>
        <w:rPr>
          <w:rFonts w:hint="default" w:ascii="Times New Roman" w:hAnsi="Times New Roman" w:eastAsia="仿宋_GB2312" w:cs="Times New Roman"/>
          <w:b w:val="0"/>
          <w:kern w:val="2"/>
          <w:sz w:val="32"/>
          <w:szCs w:val="32"/>
          <w:highlight w:val="none"/>
          <w:u w:val="none"/>
        </w:rPr>
        <w:t>资金跟着项目走</w:t>
      </w:r>
      <w:r>
        <w:rPr>
          <w:rFonts w:hint="eastAsia" w:ascii="Times New Roman" w:hAnsi="Times New Roman" w:eastAsia="仿宋_GB2312" w:cs="Times New Roman"/>
          <w:b w:val="0"/>
          <w:kern w:val="2"/>
          <w:sz w:val="32"/>
          <w:szCs w:val="32"/>
          <w:highlight w:val="none"/>
          <w:u w:val="none"/>
          <w:lang w:eastAsia="zh-CN"/>
        </w:rPr>
        <w:t>”</w:t>
      </w:r>
      <w:r>
        <w:rPr>
          <w:rFonts w:hint="default" w:ascii="Times New Roman" w:hAnsi="Times New Roman" w:eastAsia="仿宋_GB2312" w:cs="Times New Roman"/>
          <w:b w:val="0"/>
          <w:kern w:val="2"/>
          <w:sz w:val="32"/>
          <w:szCs w:val="32"/>
          <w:highlight w:val="none"/>
          <w:u w:val="none"/>
        </w:rPr>
        <w:t>原则，根据子基金投资项目进度，按约定比例出资。将认缴资金拨付子基金账户，共享收益，共担风险，向子基金出资时，引导母基金出资原则上应不早于其他社会出资人。</w:t>
      </w:r>
    </w:p>
    <w:p>
      <w:pPr>
        <w:rPr>
          <w:rFonts w:hint="default"/>
        </w:rPr>
      </w:pPr>
    </w:p>
    <w:p>
      <w:pPr>
        <w:pStyle w:val="2"/>
        <w:widowControl w:val="0"/>
        <w:numPr>
          <w:ilvl w:val="0"/>
          <w:numId w:val="0"/>
        </w:numPr>
        <w:wordWrap/>
        <w:adjustRightInd/>
        <w:snapToGrid/>
        <w:spacing w:line="560" w:lineRule="exact"/>
        <w:ind w:firstLine="643" w:firstLineChars="200"/>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第六章 收益分配和激励</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第十六条</w:t>
      </w:r>
      <w:r>
        <w:rPr>
          <w:rFonts w:hint="default" w:ascii="Times New Roman" w:hAnsi="Times New Roman" w:eastAsia="仿宋_GB2312" w:cs="Times New Roman"/>
          <w:sz w:val="32"/>
          <w:szCs w:val="32"/>
          <w:highlight w:val="none"/>
        </w:rPr>
        <w:t xml:space="preserve"> 子基金各出资人应当按照利益共享、风险共担的原则，明确约定收益分配或亏损负担方式。产业引导母基金以出资额为限承担有限责任。</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第十七条</w:t>
      </w:r>
      <w:r>
        <w:rPr>
          <w:rFonts w:hint="default" w:ascii="Times New Roman" w:hAnsi="Times New Roman" w:eastAsia="仿宋_GB2312" w:cs="Times New Roman"/>
          <w:sz w:val="32"/>
          <w:szCs w:val="32"/>
          <w:highlight w:val="none"/>
        </w:rPr>
        <w:t xml:space="preserve"> 子基金收益分配采取整体</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先回本后分利</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方式，投资收益先按照各出资人实缴出资比例分配给各出资人，至各出资人收回全部实缴出资，剩余的投资收益再按照协议、章程等约定的方式</w:t>
      </w:r>
      <w:r>
        <w:rPr>
          <w:rFonts w:hint="default" w:ascii="Times New Roman" w:hAnsi="Times New Roman" w:eastAsia="仿宋_GB2312" w:cs="Times New Roman"/>
          <w:sz w:val="32"/>
          <w:szCs w:val="32"/>
          <w:highlight w:val="none"/>
          <w:lang w:val="en-US" w:eastAsia="zh-CN"/>
        </w:rPr>
        <w:t>予</w:t>
      </w:r>
      <w:r>
        <w:rPr>
          <w:rFonts w:hint="default" w:ascii="Times New Roman" w:hAnsi="Times New Roman" w:eastAsia="仿宋_GB2312" w:cs="Times New Roman"/>
          <w:sz w:val="32"/>
          <w:szCs w:val="32"/>
          <w:highlight w:val="none"/>
        </w:rPr>
        <w:t>以分配。同时在本办法中，结合实际，设立门槛收益率为5%，子基金在与基金管理人合作时，超过门槛收益率部分的超额收益部分，基金管理人收益分配比不超过20%。</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第十八条 </w:t>
      </w:r>
      <w:r>
        <w:rPr>
          <w:rFonts w:hint="default" w:ascii="Times New Roman" w:hAnsi="Times New Roman" w:eastAsia="仿宋_GB2312" w:cs="Times New Roman"/>
          <w:sz w:val="32"/>
          <w:szCs w:val="32"/>
          <w:highlight w:val="none"/>
        </w:rPr>
        <w:t>产业引导母基金可依据子基金投资效率及投资十二师效果对非财政性出资人及基金管理机构进行让利。子基金清算退出时整体年化收益率超出清算时门槛收益率的，引导母基金可对子基金按照一定比例给予让利。子基金在规定时间内超额完成返投比例，引导母基金可在上述让利标准的基础上，给予基金管理机构额外让利。</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第十九条</w:t>
      </w:r>
      <w:r>
        <w:rPr>
          <w:rFonts w:hint="default" w:ascii="Times New Roman" w:hAnsi="Times New Roman" w:eastAsia="仿宋_GB2312" w:cs="Times New Roman"/>
          <w:sz w:val="32"/>
          <w:szCs w:val="32"/>
          <w:highlight w:val="none"/>
        </w:rPr>
        <w:t xml:space="preserve"> 为提高财政资金使用效率，鼓励</w:t>
      </w:r>
      <w:r>
        <w:rPr>
          <w:rFonts w:hint="default" w:ascii="Times New Roman" w:hAnsi="Times New Roman" w:eastAsia="仿宋_GB2312" w:cs="Times New Roman"/>
          <w:sz w:val="32"/>
          <w:szCs w:val="32"/>
          <w:highlight w:val="none"/>
          <w:lang w:val="en-US" w:eastAsia="zh-CN"/>
        </w:rPr>
        <w:t>参股基金、直投项目出资人或其他投资者</w:t>
      </w:r>
      <w:r>
        <w:rPr>
          <w:rFonts w:hint="default" w:ascii="Times New Roman" w:hAnsi="Times New Roman" w:eastAsia="仿宋_GB2312" w:cs="Times New Roman"/>
          <w:sz w:val="32"/>
          <w:szCs w:val="32"/>
          <w:highlight w:val="none"/>
        </w:rPr>
        <w:t>在存续期内购买引导母基金所持</w:t>
      </w:r>
      <w:r>
        <w:rPr>
          <w:rFonts w:hint="default" w:ascii="Times New Roman" w:hAnsi="Times New Roman" w:eastAsia="仿宋_GB2312" w:cs="Times New Roman"/>
          <w:sz w:val="32"/>
          <w:szCs w:val="32"/>
          <w:highlight w:val="none"/>
          <w:lang w:val="en-US" w:eastAsia="zh-CN"/>
        </w:rPr>
        <w:t>参股</w:t>
      </w:r>
      <w:r>
        <w:rPr>
          <w:rFonts w:hint="default" w:ascii="Times New Roman" w:hAnsi="Times New Roman" w:eastAsia="仿宋_GB2312" w:cs="Times New Roman"/>
          <w:sz w:val="32"/>
          <w:szCs w:val="32"/>
          <w:highlight w:val="none"/>
        </w:rPr>
        <w:t>基金的份额</w:t>
      </w:r>
      <w:r>
        <w:rPr>
          <w:rFonts w:hint="default" w:ascii="Times New Roman" w:hAnsi="Times New Roman" w:eastAsia="仿宋_GB2312" w:cs="Times New Roman"/>
          <w:sz w:val="32"/>
          <w:szCs w:val="32"/>
          <w:highlight w:val="none"/>
          <w:lang w:val="en-US" w:eastAsia="zh-CN"/>
        </w:rPr>
        <w:t>或直投项目的股权</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参股基金、直投项目</w:t>
      </w:r>
      <w:r>
        <w:rPr>
          <w:rFonts w:hint="default" w:ascii="Times New Roman" w:hAnsi="Times New Roman" w:eastAsia="仿宋_GB2312" w:cs="Times New Roman"/>
          <w:sz w:val="32"/>
          <w:szCs w:val="32"/>
          <w:highlight w:val="none"/>
        </w:rPr>
        <w:t>达到相关返投要求可享受优惠转让政策：符合一定条件经投决会决策同意后，对产业类</w:t>
      </w:r>
      <w:r>
        <w:rPr>
          <w:rFonts w:hint="default" w:ascii="Times New Roman" w:hAnsi="Times New Roman" w:eastAsia="仿宋_GB2312" w:cs="Times New Roman"/>
          <w:sz w:val="32"/>
          <w:szCs w:val="32"/>
          <w:highlight w:val="none"/>
          <w:lang w:val="en-US" w:eastAsia="zh-CN"/>
        </w:rPr>
        <w:t>参股</w:t>
      </w:r>
      <w:r>
        <w:rPr>
          <w:rFonts w:hint="default" w:ascii="Times New Roman" w:hAnsi="Times New Roman" w:eastAsia="仿宋_GB2312" w:cs="Times New Roman"/>
          <w:sz w:val="32"/>
          <w:szCs w:val="32"/>
          <w:highlight w:val="none"/>
        </w:rPr>
        <w:t>基金</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直投项目</w:t>
      </w:r>
      <w:r>
        <w:rPr>
          <w:rFonts w:hint="default" w:ascii="Times New Roman" w:hAnsi="Times New Roman" w:eastAsia="仿宋_GB2312" w:cs="Times New Roman"/>
          <w:sz w:val="32"/>
          <w:szCs w:val="32"/>
          <w:highlight w:val="none"/>
        </w:rPr>
        <w:t>，自</w:t>
      </w:r>
      <w:r>
        <w:rPr>
          <w:rFonts w:hint="default" w:ascii="Times New Roman" w:hAnsi="Times New Roman" w:eastAsia="仿宋_GB2312" w:cs="Times New Roman"/>
          <w:sz w:val="32"/>
          <w:szCs w:val="32"/>
          <w:highlight w:val="none"/>
          <w:lang w:val="en-US" w:eastAsia="zh-CN"/>
        </w:rPr>
        <w:t>引导母</w:t>
      </w:r>
      <w:r>
        <w:rPr>
          <w:rFonts w:hint="default" w:ascii="Times New Roman" w:hAnsi="Times New Roman" w:eastAsia="仿宋_GB2312" w:cs="Times New Roman"/>
          <w:sz w:val="32"/>
          <w:szCs w:val="32"/>
          <w:highlight w:val="none"/>
        </w:rPr>
        <w:t>基金</w:t>
      </w:r>
      <w:r>
        <w:rPr>
          <w:rFonts w:hint="default" w:ascii="Times New Roman" w:hAnsi="Times New Roman" w:eastAsia="仿宋_GB2312" w:cs="Times New Roman"/>
          <w:sz w:val="32"/>
          <w:szCs w:val="32"/>
          <w:highlight w:val="none"/>
          <w:lang w:val="en-US" w:eastAsia="zh-CN"/>
        </w:rPr>
        <w:t>投资</w:t>
      </w:r>
      <w:r>
        <w:rPr>
          <w:rFonts w:hint="default" w:ascii="Times New Roman" w:hAnsi="Times New Roman" w:eastAsia="仿宋_GB2312" w:cs="Times New Roman"/>
          <w:sz w:val="32"/>
          <w:szCs w:val="32"/>
          <w:highlight w:val="none"/>
        </w:rPr>
        <w:t>之日起3年（含）内购买的，</w:t>
      </w:r>
      <w:r>
        <w:rPr>
          <w:rFonts w:hint="default" w:ascii="Times New Roman" w:hAnsi="Times New Roman" w:eastAsia="仿宋_GB2312" w:cs="Times New Roman"/>
          <w:sz w:val="32"/>
          <w:szCs w:val="32"/>
          <w:highlight w:val="none"/>
          <w:lang w:val="en-US" w:eastAsia="zh-CN"/>
        </w:rPr>
        <w:t>转让价格可按引导母基金原始投资额与转让时一年期贷款市场报价利率（单利）计算的收益之和确定；引导母基金投资超过3年的，转让价格可参照市场价格确定。</w:t>
      </w:r>
      <w:r>
        <w:rPr>
          <w:rFonts w:hint="default" w:ascii="Times New Roman" w:hAnsi="Times New Roman" w:eastAsia="仿宋_GB2312" w:cs="Times New Roman"/>
          <w:sz w:val="32"/>
          <w:szCs w:val="32"/>
          <w:highlight w:val="none"/>
        </w:rPr>
        <w:t>对天使类、创投类</w:t>
      </w:r>
      <w:r>
        <w:rPr>
          <w:rFonts w:hint="default" w:ascii="Times New Roman" w:hAnsi="Times New Roman" w:eastAsia="仿宋_GB2312" w:cs="Times New Roman"/>
          <w:sz w:val="32"/>
          <w:szCs w:val="32"/>
          <w:highlight w:val="none"/>
          <w:lang w:val="en-US" w:eastAsia="zh-CN"/>
        </w:rPr>
        <w:t>参股</w:t>
      </w:r>
      <w:r>
        <w:rPr>
          <w:rFonts w:hint="default" w:ascii="Times New Roman" w:hAnsi="Times New Roman" w:eastAsia="仿宋_GB2312" w:cs="Times New Roman"/>
          <w:sz w:val="32"/>
          <w:szCs w:val="32"/>
          <w:highlight w:val="none"/>
        </w:rPr>
        <w:t>基金，自</w:t>
      </w:r>
      <w:r>
        <w:rPr>
          <w:rFonts w:hint="default" w:ascii="Times New Roman" w:hAnsi="Times New Roman" w:eastAsia="仿宋_GB2312" w:cs="Times New Roman"/>
          <w:sz w:val="32"/>
          <w:szCs w:val="32"/>
          <w:highlight w:val="none"/>
          <w:lang w:val="en-US" w:eastAsia="zh-CN"/>
        </w:rPr>
        <w:t>引导母</w:t>
      </w:r>
      <w:r>
        <w:rPr>
          <w:rFonts w:hint="default" w:ascii="Times New Roman" w:hAnsi="Times New Roman" w:eastAsia="仿宋_GB2312" w:cs="Times New Roman"/>
          <w:sz w:val="32"/>
          <w:szCs w:val="32"/>
          <w:highlight w:val="none"/>
        </w:rPr>
        <w:t>基金</w:t>
      </w:r>
      <w:r>
        <w:rPr>
          <w:rFonts w:hint="default" w:ascii="Times New Roman" w:hAnsi="Times New Roman" w:eastAsia="仿宋_GB2312" w:cs="Times New Roman"/>
          <w:sz w:val="32"/>
          <w:szCs w:val="32"/>
          <w:highlight w:val="none"/>
          <w:lang w:val="en-US" w:eastAsia="zh-CN"/>
        </w:rPr>
        <w:t>投资</w:t>
      </w:r>
      <w:r>
        <w:rPr>
          <w:rFonts w:hint="default" w:ascii="Times New Roman" w:hAnsi="Times New Roman" w:eastAsia="仿宋_GB2312" w:cs="Times New Roman"/>
          <w:sz w:val="32"/>
          <w:szCs w:val="32"/>
          <w:highlight w:val="none"/>
        </w:rPr>
        <w:t>之日起</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年（含）内购买的，</w:t>
      </w:r>
      <w:r>
        <w:rPr>
          <w:rFonts w:hint="default" w:ascii="Times New Roman" w:hAnsi="Times New Roman" w:eastAsia="仿宋_GB2312" w:cs="Times New Roman"/>
          <w:sz w:val="32"/>
          <w:szCs w:val="32"/>
          <w:highlight w:val="none"/>
          <w:lang w:val="en-US" w:eastAsia="zh-CN"/>
        </w:rPr>
        <w:t>可按</w:t>
      </w:r>
      <w:r>
        <w:rPr>
          <w:rFonts w:hint="default" w:ascii="Times New Roman" w:hAnsi="Times New Roman" w:eastAsia="仿宋_GB2312" w:cs="Times New Roman"/>
          <w:sz w:val="32"/>
          <w:szCs w:val="32"/>
          <w:highlight w:val="none"/>
        </w:rPr>
        <w:t>引导母基金原始</w:t>
      </w:r>
      <w:r>
        <w:rPr>
          <w:rFonts w:hint="default" w:ascii="Times New Roman" w:hAnsi="Times New Roman" w:eastAsia="仿宋_GB2312" w:cs="Times New Roman"/>
          <w:sz w:val="32"/>
          <w:szCs w:val="32"/>
          <w:highlight w:val="none"/>
          <w:lang w:val="en-US" w:eastAsia="zh-CN"/>
        </w:rPr>
        <w:t>投</w:t>
      </w:r>
      <w:r>
        <w:rPr>
          <w:rFonts w:hint="default" w:ascii="Times New Roman" w:hAnsi="Times New Roman" w:eastAsia="仿宋_GB2312" w:cs="Times New Roman"/>
          <w:sz w:val="32"/>
          <w:szCs w:val="32"/>
          <w:highlight w:val="none"/>
        </w:rPr>
        <w:t>资额转让；</w:t>
      </w:r>
      <w:r>
        <w:rPr>
          <w:rFonts w:hint="default" w:ascii="Times New Roman" w:hAnsi="Times New Roman" w:eastAsia="仿宋_GB2312" w:cs="Times New Roman"/>
          <w:sz w:val="32"/>
          <w:szCs w:val="32"/>
          <w:highlight w:val="none"/>
          <w:lang w:val="en-US" w:eastAsia="zh-CN"/>
        </w:rPr>
        <w:t>超过3年、不足5年（含）的，可按照引导母基金原始出资额加转让时一年期贷款市场报价利率（单利）计算的收益之和确定；引导母基金投资超过5年的，转让价格可参照市场价格确定。</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第七章 风险控制</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第二十条 </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按规定建立产业引导母基金运作监测机制，围绕募资、投资、运营、退出等重点环节，科学设置监测指标，客观反映基金运营成效，防范运行风险。</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第二十一条 </w:t>
      </w:r>
      <w:r>
        <w:rPr>
          <w:rFonts w:hint="default" w:ascii="Times New Roman" w:hAnsi="Times New Roman" w:eastAsia="仿宋_GB2312" w:cs="Times New Roman"/>
          <w:sz w:val="32"/>
          <w:szCs w:val="32"/>
          <w:highlight w:val="none"/>
        </w:rPr>
        <w:t>产业引导母基金受托管理人应当建立有效风险防控机制，及时报告基金运行中的重大事项。对子基金或直投项目出现重大风险或经营变化，可能带来重大投资损失的，应及时向投资决策委员会和</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报告，立即采取相应措施减少损失。</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第二十二条</w:t>
      </w:r>
      <w:r>
        <w:rPr>
          <w:rFonts w:hint="default" w:ascii="Times New Roman" w:hAnsi="Times New Roman" w:eastAsia="仿宋_GB2312" w:cs="Times New Roman"/>
          <w:sz w:val="32"/>
          <w:szCs w:val="32"/>
          <w:highlight w:val="none"/>
        </w:rPr>
        <w:t xml:space="preserve"> 引导母基金受托管理人定期向</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报送引导母基金、子基金运营和托管情况</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每个季度结束后30日内，报送引导母基金投资运作、子基金（项目）进展和资金使用等情况；</w:t>
      </w:r>
      <w:r>
        <w:rPr>
          <w:rFonts w:hint="default" w:ascii="Times New Roman" w:hAnsi="Times New Roman" w:eastAsia="仿宋_GB2312" w:cs="Times New Roman"/>
          <w:sz w:val="32"/>
          <w:szCs w:val="32"/>
          <w:highlight w:val="none"/>
        </w:rPr>
        <w:t>每个会计年度结束后4个月内</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提交引导母基金年度工作报告和经符合规定的会计师事务所审计的年度财务报告</w:t>
      </w:r>
      <w:r>
        <w:rPr>
          <w:rFonts w:hint="default" w:ascii="Times New Roman" w:hAnsi="Times New Roman" w:eastAsia="仿宋_GB2312" w:cs="Times New Roman"/>
          <w:sz w:val="32"/>
          <w:szCs w:val="32"/>
          <w:highlight w:val="none"/>
        </w:rPr>
        <w:t>。</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第二十三条 </w:t>
      </w:r>
      <w:r>
        <w:rPr>
          <w:rFonts w:hint="default" w:ascii="Times New Roman" w:hAnsi="Times New Roman" w:eastAsia="仿宋_GB2312" w:cs="Times New Roman"/>
          <w:sz w:val="32"/>
          <w:szCs w:val="32"/>
          <w:highlight w:val="none"/>
        </w:rPr>
        <w:t>子基金管理人应当依据法律法规和行业监管要求审慎经营，建立健全并严格遵守资金募集管理、投资者适当性、信息披露、风险管理、内部控制等业务规则和管理制度。参股基金须按照行业管理要求进行基金产品备案。</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第二十四条 </w:t>
      </w:r>
      <w:r>
        <w:rPr>
          <w:rFonts w:hint="default" w:ascii="Times New Roman" w:hAnsi="Times New Roman" w:eastAsia="仿宋_GB2312" w:cs="Times New Roman"/>
          <w:sz w:val="32"/>
          <w:szCs w:val="32"/>
          <w:highlight w:val="none"/>
        </w:rPr>
        <w:t>引导母基金应当委托具备资质的银行业金融机构进行托管，签订资金托管协议。托管银行业金融机构应严格履行资金托管责任，负责资产保管、账户管理、资金拨付和结算等日常工作，并对投资活动实施动态监管，确保托管资金安全。一旦发现资金异常流动，应当立即采取措施暂停支付，并向引导母基金受托管理人报告。</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第二十五条</w:t>
      </w:r>
      <w:r>
        <w:rPr>
          <w:rFonts w:hint="default" w:ascii="Times New Roman" w:hAnsi="Times New Roman" w:eastAsia="仿宋_GB2312" w:cs="Times New Roman"/>
          <w:sz w:val="32"/>
          <w:szCs w:val="32"/>
          <w:highlight w:val="none"/>
        </w:rPr>
        <w:t xml:space="preserve"> 引导母基金及子基金原则不得以任何方式承诺回购社会资本方的投资本金，原则不得以任何方式承担社会资本方的投资本金损失，原则不得以任何方式向社会资本方承诺最低收益，不得对有限合伙制基金等任何股权投资方式额外附加条款变相举债。</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第二十六条</w:t>
      </w:r>
      <w:r>
        <w:rPr>
          <w:rFonts w:hint="default" w:ascii="Times New Roman" w:hAnsi="Times New Roman" w:eastAsia="仿宋_GB2312" w:cs="Times New Roman"/>
          <w:sz w:val="32"/>
          <w:szCs w:val="32"/>
          <w:highlight w:val="none"/>
        </w:rPr>
        <w:t xml:space="preserve"> 引导母基金及子基金不得从事以下业务：</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一</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融资担保以外的担保、抵押、委托贷款等业务；</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（二）</w:t>
      </w:r>
      <w:r>
        <w:rPr>
          <w:rFonts w:hint="default" w:ascii="Times New Roman" w:hAnsi="Times New Roman" w:eastAsia="仿宋_GB2312" w:cs="Times New Roman"/>
          <w:sz w:val="32"/>
          <w:szCs w:val="32"/>
          <w:highlight w:val="none"/>
        </w:rPr>
        <w:t>投资二级市场股票、期货、房地产、证券投资基金、评级AAA级以下的企业债、信托产品、非保本型理财产品、保险计划及其他金融衍生品；</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（三）</w:t>
      </w:r>
      <w:r>
        <w:rPr>
          <w:rFonts w:hint="default" w:ascii="Times New Roman" w:hAnsi="Times New Roman" w:eastAsia="仿宋_GB2312" w:cs="Times New Roman"/>
          <w:sz w:val="32"/>
          <w:szCs w:val="32"/>
          <w:highlight w:val="none"/>
        </w:rPr>
        <w:t>向任何第三方提供赞助、捐赠（经批准的公益性捐赠除外）；</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（四）</w:t>
      </w:r>
      <w:r>
        <w:rPr>
          <w:rFonts w:hint="default" w:ascii="Times New Roman" w:hAnsi="Times New Roman" w:eastAsia="仿宋_GB2312" w:cs="Times New Roman"/>
          <w:sz w:val="32"/>
          <w:szCs w:val="32"/>
          <w:highlight w:val="none"/>
        </w:rPr>
        <w:t>吸收或变相吸收存款，或向第三方提供贷款和资金拆借；</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（五）</w:t>
      </w:r>
      <w:r>
        <w:rPr>
          <w:rFonts w:hint="default" w:ascii="Times New Roman" w:hAnsi="Times New Roman" w:eastAsia="仿宋_GB2312" w:cs="Times New Roman"/>
          <w:sz w:val="32"/>
          <w:szCs w:val="32"/>
          <w:highlight w:val="none"/>
        </w:rPr>
        <w:t>进行承担无限连带责任的对外投资；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（六）</w:t>
      </w:r>
      <w:r>
        <w:rPr>
          <w:rFonts w:hint="default" w:ascii="Times New Roman" w:hAnsi="Times New Roman" w:eastAsia="仿宋_GB2312" w:cs="Times New Roman"/>
          <w:sz w:val="32"/>
          <w:szCs w:val="32"/>
          <w:highlight w:val="none"/>
        </w:rPr>
        <w:t>发行信托或集合理财产品募集资金；</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（七）</w:t>
      </w:r>
      <w:r>
        <w:rPr>
          <w:rFonts w:hint="default" w:ascii="Times New Roman" w:hAnsi="Times New Roman" w:eastAsia="仿宋_GB2312" w:cs="Times New Roman"/>
          <w:sz w:val="32"/>
          <w:szCs w:val="32"/>
          <w:highlight w:val="none"/>
        </w:rPr>
        <w:t>国家法律法规禁止从事的其他业务。</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第二十七条</w:t>
      </w:r>
      <w:r>
        <w:rPr>
          <w:rFonts w:hint="default" w:ascii="Times New Roman" w:hAnsi="Times New Roman" w:eastAsia="仿宋_GB2312" w:cs="Times New Roman"/>
          <w:sz w:val="32"/>
          <w:szCs w:val="32"/>
          <w:highlight w:val="none"/>
        </w:rPr>
        <w:t xml:space="preserve"> 子基金存续期间，未经引导母基金受托管理机构同意，</w:t>
      </w:r>
      <w:r>
        <w:rPr>
          <w:rFonts w:hint="default" w:ascii="Times New Roman" w:hAnsi="Times New Roman" w:eastAsia="仿宋_GB2312" w:cs="Times New Roman"/>
          <w:sz w:val="32"/>
          <w:szCs w:val="32"/>
          <w:highlight w:val="none"/>
          <w:lang w:val="en-US" w:eastAsia="zh-CN"/>
        </w:rPr>
        <w:t>子</w:t>
      </w:r>
      <w:r>
        <w:rPr>
          <w:rFonts w:hint="default" w:ascii="Times New Roman" w:hAnsi="Times New Roman" w:eastAsia="仿宋_GB2312" w:cs="Times New Roman"/>
          <w:sz w:val="32"/>
          <w:szCs w:val="32"/>
          <w:highlight w:val="none"/>
        </w:rPr>
        <w:t>基金管理人及管理机构核心人员原则上不得更换。有下列情形之一的，</w:t>
      </w:r>
      <w:r>
        <w:rPr>
          <w:rFonts w:hint="default" w:ascii="Times New Roman" w:hAnsi="Times New Roman" w:eastAsia="仿宋_GB2312" w:cs="Times New Roman"/>
          <w:sz w:val="32"/>
          <w:szCs w:val="32"/>
          <w:highlight w:val="none"/>
          <w:lang w:val="en-US" w:eastAsia="zh-CN"/>
        </w:rPr>
        <w:t>子</w:t>
      </w:r>
      <w:r>
        <w:rPr>
          <w:rFonts w:hint="default" w:ascii="Times New Roman" w:hAnsi="Times New Roman" w:eastAsia="仿宋_GB2312" w:cs="Times New Roman"/>
          <w:sz w:val="32"/>
          <w:szCs w:val="32"/>
          <w:highlight w:val="none"/>
        </w:rPr>
        <w:t>基金管理人应当重组或更换：</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一</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管理机构解散、破产或者由接管人接管其资产的；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（二）</w:t>
      </w:r>
      <w:r>
        <w:rPr>
          <w:rFonts w:hint="default" w:ascii="Times New Roman" w:hAnsi="Times New Roman" w:eastAsia="仿宋_GB2312" w:cs="Times New Roman"/>
          <w:sz w:val="32"/>
          <w:szCs w:val="32"/>
          <w:highlight w:val="none"/>
        </w:rPr>
        <w:t>管理机构丧失管理能力或者严重损害基金投资者利益，经持有基金三分之二以上（含引导母基金在内）权益的投资者同意或者按照基金章程或协议约定的程序决定的；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（三）</w:t>
      </w:r>
      <w:r>
        <w:rPr>
          <w:rFonts w:hint="default" w:ascii="Times New Roman" w:hAnsi="Times New Roman" w:eastAsia="仿宋_GB2312" w:cs="Times New Roman"/>
          <w:sz w:val="32"/>
          <w:szCs w:val="32"/>
          <w:highlight w:val="none"/>
        </w:rPr>
        <w:t>按照基金章程或协议约定的程序决定，或经持有基金三分之二以上（含</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在内）权益的投资者要求管理机构重组或更换的；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（四）</w:t>
      </w:r>
      <w:r>
        <w:rPr>
          <w:rFonts w:hint="default" w:ascii="Times New Roman" w:hAnsi="Times New Roman" w:eastAsia="仿宋_GB2312" w:cs="Times New Roman"/>
          <w:sz w:val="32"/>
          <w:szCs w:val="32"/>
          <w:highlight w:val="none"/>
        </w:rPr>
        <w:t>基金章程或合伙协议约定管理机构重组或更换的其他情形。</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第八章 终止与退出</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第二十八条</w:t>
      </w:r>
      <w:r>
        <w:rPr>
          <w:rFonts w:hint="default" w:ascii="Times New Roman" w:hAnsi="Times New Roman" w:eastAsia="仿宋_GB2312" w:cs="Times New Roman"/>
          <w:sz w:val="32"/>
          <w:szCs w:val="32"/>
          <w:highlight w:val="none"/>
        </w:rPr>
        <w:t xml:space="preserve"> 引导母基金一般通过到期清算、转让基金份额、整体接续等方式从参股基金中退出。</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第二十九条</w:t>
      </w:r>
      <w:r>
        <w:rPr>
          <w:rFonts w:hint="default" w:ascii="Times New Roman" w:hAnsi="Times New Roman" w:eastAsia="仿宋_GB2312" w:cs="Times New Roman"/>
          <w:sz w:val="32"/>
          <w:szCs w:val="32"/>
          <w:highlight w:val="none"/>
        </w:rPr>
        <w:t xml:space="preserve"> 引导母基金与其他出资人在子基金章程或合伙协议中约定有下列情形之一的，引导母基金无需其他出资人同意，可选择提前退出：</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一</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子基金方案确认后超过1年，未按规定程序和时间要求完成设立手续的；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二</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子基金设立1年以上未备案，或备案后1年以上未开展投资业务的；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三</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子基金投资领域和方向不符合政策目标的；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四</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子基金未按章程或合伙协议约定投资的；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五</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子基金管理人发生实质性变化，不再符合子基金管理机构条件的；</w:t>
      </w:r>
    </w:p>
    <w:p>
      <w:pPr>
        <w:widowControl w:val="0"/>
        <w:numPr>
          <w:numId w:val="0"/>
        </w:numPr>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（六）</w:t>
      </w:r>
      <w:r>
        <w:rPr>
          <w:rFonts w:hint="default" w:ascii="Times New Roman" w:hAnsi="Times New Roman" w:eastAsia="仿宋_GB2312" w:cs="Times New Roman"/>
          <w:sz w:val="32"/>
          <w:szCs w:val="32"/>
          <w:highlight w:val="none"/>
        </w:rPr>
        <w:t>其他不符合引导母基金要求情形的。</w:t>
      </w: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第九章 考核监督</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第三十条</w:t>
      </w:r>
      <w:r>
        <w:rPr>
          <w:rFonts w:hint="default"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应当建立健全覆盖母基金从出资到退出全周期的考评机制和多层级引导母基金年度绩效评估机制，制定引导母基金差异化绩效评价体系。</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第三十一条 </w:t>
      </w:r>
      <w:r>
        <w:rPr>
          <w:rFonts w:hint="default" w:ascii="Times New Roman" w:hAnsi="Times New Roman" w:eastAsia="仿宋_GB2312" w:cs="Times New Roman"/>
          <w:sz w:val="32"/>
          <w:szCs w:val="32"/>
          <w:highlight w:val="none"/>
        </w:rPr>
        <w:t>引导母基金受托管理机构负责对其管理的引导母基金每年进行绩效自评，会同产业主管部门对子基金进行绩效初评。</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负责对引导母基金自评结果进行复评并对参股基金进行抽评，每3年完成一轮对参股基金的全覆盖绩效评价。</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第三十二条</w:t>
      </w:r>
      <w:r>
        <w:rPr>
          <w:rFonts w:hint="default" w:ascii="Times New Roman" w:hAnsi="Times New Roman" w:eastAsia="仿宋_GB2312" w:cs="Times New Roman"/>
          <w:sz w:val="32"/>
          <w:szCs w:val="32"/>
          <w:highlight w:val="none"/>
        </w:rPr>
        <w:t xml:space="preserve"> 子基金投资期结束、退出清算时，引导母基金受托管理机构应当形成子基金运作报告，报送</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备案。</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第三十三条</w:t>
      </w:r>
      <w:r>
        <w:rPr>
          <w:rFonts w:hint="default" w:ascii="Times New Roman" w:hAnsi="Times New Roman" w:eastAsia="仿宋_GB2312" w:cs="Times New Roman"/>
          <w:sz w:val="32"/>
          <w:szCs w:val="32"/>
          <w:highlight w:val="none"/>
        </w:rPr>
        <w:t xml:space="preserve"> 引导母基金受托管理机构应当自觉接受审计部门的审计及</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的监督检查。子基金管理机构应当落实适度监管要求，接受地方金融管理部门指导和国家基金行业监管部门及其派出机构的业务监管。对任何单位和个人在管理中存在的涉及财政资金、地方金融管理的违法违纪行为，依法予以严肃处理，并追究相应责任；涉嫌犯罪的，依法追究刑事责任。</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第三十四条</w:t>
      </w:r>
      <w:r>
        <w:rPr>
          <w:rFonts w:hint="default" w:ascii="Times New Roman" w:hAnsi="Times New Roman" w:eastAsia="仿宋_GB2312" w:cs="Times New Roman"/>
          <w:sz w:val="32"/>
          <w:szCs w:val="32"/>
          <w:highlight w:val="none"/>
        </w:rPr>
        <w:t xml:space="preserve"> 在引导母基金投资运作过程中落实激励和约束机制，对已履行规定程序作出决策的投资，如遇不可抗力、政策变动或发生市场（经营）风险等因素造成投资损失的，按照相关尽职免责制度执行。</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第三十五条</w:t>
      </w:r>
      <w:r>
        <w:rPr>
          <w:rFonts w:hint="default" w:ascii="Times New Roman" w:hAnsi="Times New Roman" w:eastAsia="仿宋_GB2312" w:cs="Times New Roman"/>
          <w:sz w:val="32"/>
          <w:szCs w:val="32"/>
          <w:highlight w:val="none"/>
        </w:rPr>
        <w:t xml:space="preserve"> 对引导母基金的投资运营，遵循市场规律，合理容忍正常的投资风险，不将正常投资风险作为追责依据。对开展政策性直投的，要综合考虑引导母基金投资对产业及经济带动价值，凡是依照国家、兵团、师党委有关决策规定实施，且未违纪违法谋取私利的，在基金考核评价、审计、巡察、财政、国资等监管考核时不作负面评价，并依法依规免除相关责任。基金考核评价、审计、巡察、财政、国资监管考核以</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整体项目投资核算作为评价依据，并结合子基金对产业发展的带动作用和税收、就业等社会效益进行综合评价。</w:t>
      </w:r>
    </w:p>
    <w:p>
      <w:pPr>
        <w:widowControl w:val="0"/>
        <w:wordWrap/>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p>
    <w:p>
      <w:pPr>
        <w:widowControl w:val="0"/>
        <w:wordWrap/>
        <w:adjustRightInd/>
        <w:snapToGrid/>
        <w:spacing w:line="560" w:lineRule="exact"/>
        <w:jc w:val="center"/>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第十章 附则</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第三十六条</w:t>
      </w:r>
      <w:r>
        <w:rPr>
          <w:rFonts w:hint="default" w:ascii="Times New Roman" w:hAnsi="Times New Roman" w:eastAsia="仿宋_GB2312" w:cs="Times New Roman"/>
          <w:sz w:val="32"/>
          <w:szCs w:val="32"/>
          <w:highlight w:val="none"/>
        </w:rPr>
        <w:t xml:space="preserve"> 本办法如遇国家和兵团、师有关规定调整的，按照调整后的规定执行。</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第三十七条</w:t>
      </w:r>
      <w:r>
        <w:rPr>
          <w:rFonts w:hint="default" w:ascii="Times New Roman" w:hAnsi="Times New Roman" w:eastAsia="仿宋_GB2312" w:cs="Times New Roman"/>
          <w:sz w:val="32"/>
          <w:szCs w:val="32"/>
          <w:highlight w:val="none"/>
        </w:rPr>
        <w:t xml:space="preserve"> 本办法自印发之日起施行，有同类相关规定的按本办法执行。</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第三十八条</w:t>
      </w:r>
      <w:r>
        <w:rPr>
          <w:rFonts w:hint="default" w:ascii="Times New Roman" w:hAnsi="Times New Roman" w:eastAsia="仿宋_GB2312" w:cs="Times New Roman"/>
          <w:sz w:val="32"/>
          <w:szCs w:val="32"/>
          <w:highlight w:val="none"/>
        </w:rPr>
        <w:t xml:space="preserve"> 本办法由</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按师授权进行解释。</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楷体">
    <w:panose1 w:val="02010609060101010101"/>
    <w:charset w:val="7A"/>
    <w:family w:val="auto"/>
    <w:pitch w:val="default"/>
    <w:sig w:usb0="800002BF" w:usb1="38CF7CFA" w:usb2="00000016" w:usb3="00000000" w:csb0="00040001" w:csb1="00000000"/>
  </w:font>
  <w:font w:name="Calibri">
    <w:panose1 w:val="020F0502020204030204"/>
    <w:charset w:val="00"/>
    <w:family w:val="auto"/>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
    <w:nsid w:val="00000002"/>
    <w:multiLevelType w:val="multilevel"/>
    <w:tmpl w:val="00000002"/>
    <w:lvl w:ilvl="0" w:tentative="1">
      <w:start w:val="1"/>
      <w:numFmt w:val="decimal"/>
      <w:pStyle w:val="2"/>
      <w:suff w:val="space"/>
      <w:lvlText w:val="第%1条"/>
      <w:lvlJc w:val="center"/>
      <w:pPr>
        <w:ind w:left="993" w:firstLine="284"/>
      </w:pPr>
      <w:rPr>
        <w:rFonts w:hint="default" w:ascii="Times New Roman" w:hAnsi="Times New Roman" w:eastAsia="楷体"/>
        <w:b/>
        <w:u w:val="none"/>
      </w:rPr>
    </w:lvl>
    <w:lvl w:ilvl="1" w:tentative="1">
      <w:start w:val="1"/>
      <w:numFmt w:val="decimal"/>
      <w:lvlText w:val="%1.%2"/>
      <w:lvlJc w:val="left"/>
      <w:pPr>
        <w:tabs>
          <w:tab w:val="left" w:pos="1050"/>
        </w:tabs>
        <w:ind w:left="1532" w:hanging="482"/>
      </w:pPr>
      <w:rPr>
        <w:rFonts w:hint="default" w:ascii="Times New Roman" w:hAnsi="Times New Roman" w:eastAsia="楷体"/>
        <w:b/>
        <w:u w:val="none"/>
      </w:rPr>
    </w:lvl>
    <w:lvl w:ilvl="2" w:tentative="1">
      <w:start w:val="1"/>
      <w:numFmt w:val="decimal"/>
      <w:lvlText w:val="%1.%2.%3"/>
      <w:lvlJc w:val="left"/>
      <w:pPr>
        <w:tabs>
          <w:tab w:val="left" w:pos="1078"/>
        </w:tabs>
        <w:ind w:left="1078" w:hanging="652"/>
      </w:pPr>
      <w:rPr>
        <w:rFonts w:hint="default"/>
        <w:b w:val="0"/>
        <w:u w:val="none"/>
      </w:rPr>
    </w:lvl>
    <w:lvl w:ilvl="3" w:tentative="1">
      <w:start w:val="1"/>
      <w:numFmt w:val="decimal"/>
      <w:lvlText w:val="（%4）"/>
      <w:lvlJc w:val="left"/>
      <w:pPr>
        <w:tabs>
          <w:tab w:val="left" w:pos="1530"/>
        </w:tabs>
        <w:ind w:left="1730" w:hanging="680"/>
      </w:pPr>
      <w:rPr>
        <w:rFonts w:hint="default"/>
        <w:u w:val="none"/>
        <w:lang w:val="en-US"/>
      </w:rPr>
    </w:lvl>
    <w:lvl w:ilvl="4" w:tentative="1">
      <w:start w:val="1"/>
      <w:numFmt w:val="decimal"/>
      <w:lvlText w:val="%1.%2.%3.%4.%5"/>
      <w:lvlJc w:val="left"/>
      <w:pPr>
        <w:ind w:left="2551" w:hanging="850"/>
      </w:pPr>
      <w:rPr>
        <w:rFonts w:hint="default"/>
        <w:u w:val="none"/>
      </w:rPr>
    </w:lvl>
    <w:lvl w:ilvl="5" w:tentative="1">
      <w:start w:val="1"/>
      <w:numFmt w:val="decimal"/>
      <w:lvlText w:val="%1.%2.%3.%4.%5.%6"/>
      <w:lvlJc w:val="left"/>
      <w:pPr>
        <w:ind w:left="3260" w:hanging="1134"/>
      </w:pPr>
      <w:rPr>
        <w:rFonts w:hint="default"/>
        <w:u w:val="none"/>
      </w:rPr>
    </w:lvl>
    <w:lvl w:ilvl="6" w:tentative="1">
      <w:start w:val="1"/>
      <w:numFmt w:val="decimal"/>
      <w:lvlText w:val="%1.%2.%3.%4.%5.%6.%7"/>
      <w:lvlJc w:val="left"/>
      <w:pPr>
        <w:ind w:left="3827" w:hanging="1276"/>
      </w:pPr>
      <w:rPr>
        <w:rFonts w:hint="default"/>
        <w:u w:val="none"/>
      </w:rPr>
    </w:lvl>
    <w:lvl w:ilvl="7" w:tentative="1">
      <w:start w:val="1"/>
      <w:numFmt w:val="decimal"/>
      <w:lvlText w:val="%1.%2.%3.%4.%5.%6.%7.%8"/>
      <w:lvlJc w:val="left"/>
      <w:pPr>
        <w:ind w:left="4394" w:hanging="1418"/>
      </w:pPr>
      <w:rPr>
        <w:rFonts w:hint="default"/>
        <w:u w:val="none"/>
      </w:rPr>
    </w:lvl>
    <w:lvl w:ilvl="8" w:tentative="1">
      <w:start w:val="1"/>
      <w:numFmt w:val="decimal"/>
      <w:lvlText w:val="%1.%2.%3.%4.%5.%6.%7.%8.%9"/>
      <w:lvlJc w:val="left"/>
      <w:pPr>
        <w:ind w:left="5102" w:hanging="1700"/>
      </w:pPr>
      <w:rPr>
        <w:rFonts w:hint="default"/>
        <w:u w:val="none"/>
      </w:rPr>
    </w:lvl>
  </w:abstractNum>
  <w:num w:numId="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784C08"/>
    <w:rsid w:val="00784C08"/>
    <w:rsid w:val="44CB291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numPr>
        <w:ilvl w:val="0"/>
        <w:numId w:val="1"/>
      </w:numPr>
      <w:spacing w:before="156" w:beforeLines="50" w:after="156" w:afterLines="50"/>
      <w:jc w:val="center"/>
      <w:outlineLvl w:val="0"/>
    </w:pPr>
    <w:rPr>
      <w:rFonts w:ascii="楷体" w:hAnsi="楷体" w:eastAsia="楷体" w:cs="Times New Roman"/>
      <w:b/>
      <w:kern w:val="44"/>
      <w:sz w:val="24"/>
    </w:rPr>
  </w:style>
  <w:style w:type="character" w:default="1" w:styleId="4">
    <w:name w:val="Default Paragraph Font"/>
    <w:semiHidden/>
    <w:uiPriority w:val="0"/>
  </w:style>
  <w:style w:type="table" w:default="1" w:styleId="5">
    <w:name w:val="Normal Table"/>
    <w:semiHidden/>
    <w:uiPriority w:val="0"/>
    <w:tblPr>
      <w:tblStyle w:val="5"/>
      <w:tblLayout w:type="fixed"/>
      <w:tblCellMar>
        <w:top w:w="0" w:type="dxa"/>
        <w:left w:w="108" w:type="dxa"/>
        <w:bottom w:w="0" w:type="dxa"/>
        <w:right w:w="108" w:type="dxa"/>
      </w:tblCellMar>
    </w:tblPr>
    <w:tcPr>
      <w:textDirection w:val="lrTb"/>
    </w:tc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2026-07-30T04:18:00Z</dcterms:created>
  <dc:creator>1</dc:creator>
  <cp:lastModifiedBy>Administrator</cp:lastModifiedBy>
  <dcterms:modified xsi:type="dcterms:W3CDTF">2026-07-30T04:23:01Z</dcterms:modified>
  <dc:title>附件2</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y fmtid="{D5CDD505-2E9C-101B-9397-08002B2CF9AE}" pid="3" name="ICV">
    <vt:lpwstr>22BBFE78DF154E0E8723D690D61B4F69_11</vt:lpwstr>
  </property>
  <property fmtid="{D5CDD505-2E9C-101B-9397-08002B2CF9AE}" pid="4" name="KSOTemplateDocerSaveRecord">
    <vt:lpwstr>eyJoZGlkIjoiZGNlOGU4OGIyMGZhN2FjNzdlYTIxMmFmMmM0NTU2NTMiLCJ1c2VySWQiOiIyNTE3NTIzODYifQ==</vt:lpwstr>
  </property>
</Properties>
</file>