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line="580" w:lineRule="exact"/>
        <w:ind w:right="210" w:rightChars="100"/>
        <w:textAlignment w:val="auto"/>
        <w:rPr>
          <w:rFonts w:hint="default" w:ascii="Times New Roman" w:hAnsi="Times New Roman" w:eastAsia="黑体" w:cs="Times New Roman"/>
          <w:sz w:val="32"/>
          <w:szCs w:val="32"/>
          <w:highlight w:val="none"/>
          <w:lang w:eastAsia="zh-CN"/>
        </w:rPr>
      </w:pPr>
      <w:bookmarkStart w:id="0" w:name="_GoBack"/>
      <w:bookmarkEnd w:id="0"/>
      <w:r>
        <w:rPr>
          <w:rFonts w:hint="default" w:ascii="Times New Roman" w:hAnsi="Times New Roman" w:eastAsia="黑体" w:cs="Times New Roman"/>
          <w:sz w:val="32"/>
          <w:szCs w:val="32"/>
          <w:highlight w:val="none"/>
        </w:rPr>
        <w:t>附件</w:t>
      </w:r>
      <w:r>
        <w:rPr>
          <w:rFonts w:hint="default" w:ascii="Times New Roman" w:hAnsi="Times New Roman" w:eastAsia="黑体" w:cs="Times New Roman"/>
          <w:sz w:val="32"/>
          <w:szCs w:val="32"/>
          <w:highlight w:val="none"/>
          <w:lang w:val="en-US" w:eastAsia="zh-CN"/>
        </w:rPr>
        <w:t>3</w:t>
      </w:r>
    </w:p>
    <w:p>
      <w:pPr>
        <w:widowControl w:val="0"/>
        <w:wordWrap/>
        <w:adjustRightInd/>
        <w:snapToGrid/>
        <w:spacing w:before="312" w:beforeLines="100" w:line="580" w:lineRule="exact"/>
        <w:jc w:val="center"/>
        <w:textAlignment w:val="auto"/>
        <w:outlineLvl w:val="0"/>
        <w:rPr>
          <w:rFonts w:hint="default" w:ascii="Times New Roman" w:hAnsi="Times New Roman" w:eastAsia="仿宋_GB2312" w:cs="Times New Roman"/>
          <w:sz w:val="32"/>
          <w:szCs w:val="32"/>
          <w:highlight w:val="none"/>
        </w:rPr>
      </w:pPr>
      <w:r>
        <w:rPr>
          <w:rFonts w:hint="eastAsia" w:ascii="Times New Roman" w:hAnsi="Times New Roman" w:eastAsia="方正小标宋简体" w:cs="Times New Roman"/>
          <w:sz w:val="44"/>
          <w:szCs w:val="44"/>
          <w:highlight w:val="none"/>
          <w:lang w:val="en-US" w:eastAsia="zh-CN"/>
        </w:rPr>
        <w:t>第</w:t>
      </w:r>
      <w:r>
        <w:rPr>
          <w:rFonts w:hint="default" w:ascii="Times New Roman" w:hAnsi="Times New Roman" w:eastAsia="方正小标宋简体" w:cs="Times New Roman"/>
          <w:sz w:val="44"/>
          <w:szCs w:val="44"/>
          <w:highlight w:val="none"/>
        </w:rPr>
        <w:t>十二师产业</w:t>
      </w:r>
      <w:r>
        <w:rPr>
          <w:rFonts w:hint="default" w:ascii="Times New Roman" w:hAnsi="Times New Roman" w:eastAsia="方正小标宋简体" w:cs="Times New Roman"/>
          <w:sz w:val="44"/>
          <w:szCs w:val="44"/>
          <w:highlight w:val="none"/>
          <w:lang w:eastAsia="zh-CN"/>
        </w:rPr>
        <w:t>引导</w:t>
      </w:r>
      <w:r>
        <w:rPr>
          <w:rFonts w:hint="default" w:ascii="Times New Roman" w:hAnsi="Times New Roman" w:eastAsia="方正小标宋简体" w:cs="Times New Roman"/>
          <w:sz w:val="44"/>
          <w:szCs w:val="44"/>
          <w:highlight w:val="none"/>
          <w:lang w:val="en-US" w:eastAsia="zh-CN"/>
        </w:rPr>
        <w:t>母</w:t>
      </w:r>
      <w:r>
        <w:rPr>
          <w:rFonts w:hint="default" w:ascii="Times New Roman" w:hAnsi="Times New Roman" w:eastAsia="方正小标宋简体" w:cs="Times New Roman"/>
          <w:sz w:val="44"/>
          <w:szCs w:val="44"/>
          <w:highlight w:val="none"/>
          <w:lang w:eastAsia="zh-CN"/>
        </w:rPr>
        <w:t>基金</w:t>
      </w:r>
      <w:r>
        <w:rPr>
          <w:rFonts w:hint="default" w:ascii="Times New Roman" w:hAnsi="Times New Roman" w:eastAsia="方正小标宋简体" w:cs="Times New Roman"/>
          <w:sz w:val="44"/>
          <w:szCs w:val="44"/>
          <w:highlight w:val="none"/>
        </w:rPr>
        <w:t>设立方案</w:t>
      </w:r>
    </w:p>
    <w:p>
      <w:pPr>
        <w:widowControl w:val="0"/>
        <w:wordWrap/>
        <w:adjustRightInd/>
        <w:snapToGrid/>
        <w:spacing w:line="580" w:lineRule="exact"/>
        <w:jc w:val="center"/>
        <w:textAlignment w:val="auto"/>
        <w:rPr>
          <w:rFonts w:hint="default" w:ascii="Times New Roman" w:hAnsi="Times New Roman" w:eastAsia="仿宋_GB2312" w:cs="Times New Roman"/>
          <w:sz w:val="32"/>
          <w:szCs w:val="32"/>
          <w:highlight w:val="none"/>
        </w:rPr>
      </w:pPr>
    </w:p>
    <w:p>
      <w:pPr>
        <w:widowControl w:val="0"/>
        <w:wordWrap/>
        <w:adjustRightInd/>
        <w:snapToGrid/>
        <w:spacing w:line="58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一、基金名称</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新疆</w:t>
      </w:r>
      <w:r>
        <w:rPr>
          <w:rFonts w:hint="eastAsia" w:ascii="Times New Roman" w:hAnsi="Times New Roman" w:eastAsia="仿宋_GB2312" w:cs="Times New Roman"/>
          <w:color w:val="000000"/>
          <w:sz w:val="32"/>
          <w:szCs w:val="32"/>
          <w:highlight w:val="none"/>
          <w:lang w:eastAsia="zh-CN"/>
        </w:rPr>
        <w:t>丝路亚心</w:t>
      </w:r>
      <w:r>
        <w:rPr>
          <w:rFonts w:hint="default" w:ascii="Times New Roman" w:hAnsi="Times New Roman" w:eastAsia="仿宋_GB2312" w:cs="Times New Roman"/>
          <w:color w:val="000000"/>
          <w:sz w:val="32"/>
          <w:szCs w:val="32"/>
          <w:highlight w:val="none"/>
        </w:rPr>
        <w:t>产业</w:t>
      </w:r>
      <w:r>
        <w:rPr>
          <w:rFonts w:hint="default" w:ascii="Times New Roman" w:hAnsi="Times New Roman" w:eastAsia="仿宋_GB2312" w:cs="Times New Roman"/>
          <w:color w:val="000000"/>
          <w:sz w:val="32"/>
          <w:szCs w:val="32"/>
          <w:highlight w:val="none"/>
          <w:lang w:eastAsia="zh-CN"/>
        </w:rPr>
        <w:t>引导母基金</w:t>
      </w:r>
      <w:r>
        <w:rPr>
          <w:rFonts w:hint="default" w:ascii="Times New Roman" w:hAnsi="Times New Roman" w:eastAsia="仿宋_GB2312" w:cs="Times New Roman"/>
          <w:color w:val="000000"/>
          <w:sz w:val="32"/>
          <w:szCs w:val="32"/>
          <w:highlight w:val="none"/>
        </w:rPr>
        <w:t>合伙企业（有限合伙）（暂定名，最终以市场监督管理部门核名为准</w:t>
      </w:r>
      <w:r>
        <w:rPr>
          <w:rFonts w:hint="default" w:ascii="Times New Roman" w:hAnsi="Times New Roman" w:eastAsia="仿宋_GB2312" w:cs="Times New Roman"/>
          <w:sz w:val="32"/>
          <w:szCs w:val="32"/>
          <w:highlight w:val="none"/>
        </w:rPr>
        <w:t>，以下简称</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引导母基金</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pPr>
        <w:widowControl w:val="0"/>
        <w:wordWrap/>
        <w:adjustRightInd/>
        <w:snapToGrid/>
        <w:spacing w:line="58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二、基金期限</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存续期原则上不少于20年，投资期原则上不少于15年</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各子基金存续期原则上不超过</w:t>
      </w: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年，确需超过该存续期限的，需经子基</w:t>
      </w:r>
      <w:r>
        <w:rPr>
          <w:rFonts w:hint="default" w:ascii="Times New Roman" w:hAnsi="Times New Roman" w:eastAsia="仿宋_GB2312" w:cs="Times New Roman"/>
          <w:color w:val="000000"/>
          <w:sz w:val="32"/>
          <w:szCs w:val="32"/>
          <w:highlight w:val="none"/>
        </w:rPr>
        <w:t>金全体投资人一致同意。</w:t>
      </w:r>
    </w:p>
    <w:p>
      <w:pPr>
        <w:widowControl w:val="0"/>
        <w:wordWrap/>
        <w:adjustRightInd/>
        <w:snapToGrid/>
        <w:spacing w:line="58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三、基金注册地址</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十二师辖区内</w:t>
      </w:r>
    </w:p>
    <w:p>
      <w:pPr>
        <w:widowControl w:val="0"/>
        <w:wordWrap/>
        <w:adjustRightInd/>
        <w:snapToGrid/>
        <w:spacing w:line="58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四、基金</w:t>
      </w:r>
      <w:r>
        <w:rPr>
          <w:rFonts w:hint="default" w:ascii="Times New Roman" w:hAnsi="Times New Roman" w:eastAsia="黑体" w:cs="Times New Roman"/>
          <w:sz w:val="32"/>
          <w:szCs w:val="32"/>
          <w:highlight w:val="none"/>
          <w:lang w:val="en-US" w:eastAsia="zh-CN"/>
        </w:rPr>
        <w:t>组织</w:t>
      </w:r>
      <w:r>
        <w:rPr>
          <w:rFonts w:hint="default" w:ascii="Times New Roman" w:hAnsi="Times New Roman" w:eastAsia="黑体" w:cs="Times New Roman"/>
          <w:sz w:val="32"/>
          <w:szCs w:val="32"/>
          <w:highlight w:val="none"/>
        </w:rPr>
        <w:t>形式</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经中国证券投资基金业协会（以下简称</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基金业协会</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或</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协会</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）备案的有限合伙型私募股权投资基金。</w:t>
      </w:r>
    </w:p>
    <w:p>
      <w:pPr>
        <w:widowControl w:val="0"/>
        <w:wordWrap/>
        <w:adjustRightInd/>
        <w:snapToGrid/>
        <w:spacing w:line="58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五、基金规模</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规模10亿元。为提高资金使用效率，首期安排2亿元用于工商设立和协会备案即可。</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（一）有限合伙人（</w:t>
      </w:r>
      <w:r>
        <w:rPr>
          <w:rFonts w:hint="default" w:ascii="楷体_GB2312" w:hAnsi="楷体_GB2312" w:eastAsia="楷体_GB2312" w:cs="楷体_GB2312"/>
          <w:b w:val="0"/>
          <w:bCs/>
          <w:sz w:val="32"/>
          <w:szCs w:val="32"/>
          <w:highlight w:val="none"/>
          <w:lang w:val="en-US" w:eastAsia="zh-CN"/>
        </w:rPr>
        <w:t>LP</w:t>
      </w:r>
      <w:r>
        <w:rPr>
          <w:rFonts w:hint="default" w:ascii="楷体_GB2312" w:hAnsi="楷体_GB2312" w:eastAsia="楷体_GB2312" w:cs="楷体_GB2312"/>
          <w:b w:val="0"/>
          <w:bCs/>
          <w:sz w:val="32"/>
          <w:szCs w:val="32"/>
          <w:highlight w:val="none"/>
          <w:lang w:eastAsia="zh-CN"/>
        </w:rPr>
        <w:t>）：</w:t>
      </w:r>
      <w:r>
        <w:rPr>
          <w:rFonts w:hint="default" w:ascii="Times New Roman" w:hAnsi="Times New Roman" w:eastAsia="仿宋_GB2312" w:cs="Times New Roman"/>
          <w:sz w:val="32"/>
          <w:szCs w:val="32"/>
          <w:highlight w:val="none"/>
        </w:rPr>
        <w:t>认缴</w:t>
      </w:r>
      <w:r>
        <w:rPr>
          <w:rFonts w:hint="default" w:ascii="Times New Roman" w:hAnsi="Times New Roman" w:eastAsia="仿宋_GB2312" w:cs="Times New Roman"/>
          <w:sz w:val="32"/>
          <w:szCs w:val="32"/>
          <w:highlight w:val="none"/>
          <w:lang w:val="en-US" w:eastAsia="zh-CN"/>
        </w:rPr>
        <w:t>出资</w:t>
      </w:r>
      <w:r>
        <w:rPr>
          <w:rFonts w:hint="default" w:ascii="Times New Roman" w:hAnsi="Times New Roman" w:eastAsia="仿宋_GB2312" w:cs="Times New Roman"/>
          <w:sz w:val="32"/>
          <w:szCs w:val="32"/>
          <w:highlight w:val="none"/>
        </w:rPr>
        <w:t>总</w:t>
      </w:r>
      <w:r>
        <w:rPr>
          <w:rFonts w:hint="default" w:ascii="Times New Roman" w:hAnsi="Times New Roman" w:eastAsia="仿宋_GB2312" w:cs="Times New Roman"/>
          <w:sz w:val="32"/>
          <w:szCs w:val="32"/>
          <w:highlight w:val="none"/>
          <w:lang w:eastAsia="zh-CN"/>
        </w:rPr>
        <w:t>额</w:t>
      </w:r>
      <w:r>
        <w:rPr>
          <w:rFonts w:hint="default" w:ascii="Times New Roman" w:hAnsi="Times New Roman" w:eastAsia="仿宋_GB2312" w:cs="Times New Roman"/>
          <w:sz w:val="32"/>
          <w:szCs w:val="32"/>
          <w:highlight w:val="none"/>
        </w:rPr>
        <w:t>9亿元，</w:t>
      </w:r>
      <w:r>
        <w:rPr>
          <w:rFonts w:hint="default" w:ascii="Times New Roman" w:hAnsi="Times New Roman" w:eastAsia="仿宋_GB2312" w:cs="Times New Roman"/>
          <w:sz w:val="32"/>
          <w:szCs w:val="32"/>
          <w:highlight w:val="none"/>
          <w:lang w:val="en-US" w:eastAsia="zh-CN"/>
        </w:rPr>
        <w:t>首期出资为认缴出资总额的20%，即1.8亿元，由</w:t>
      </w:r>
      <w:r>
        <w:rPr>
          <w:rFonts w:hint="eastAsia" w:ascii="Times New Roman" w:hAnsi="Times New Roman" w:eastAsia="仿宋_GB2312" w:cs="Times New Roman"/>
          <w:color w:val="auto"/>
          <w:sz w:val="32"/>
          <w:szCs w:val="32"/>
          <w:highlight w:val="none"/>
          <w:lang w:val="en-US" w:eastAsia="zh-CN"/>
        </w:rPr>
        <w:t>师财政局（国资委、金融办）</w:t>
      </w:r>
      <w:r>
        <w:rPr>
          <w:rFonts w:hint="default" w:ascii="Times New Roman" w:hAnsi="Times New Roman" w:eastAsia="仿宋_GB2312" w:cs="Times New Roman"/>
          <w:color w:val="auto"/>
          <w:sz w:val="32"/>
          <w:szCs w:val="32"/>
          <w:highlight w:val="none"/>
          <w:lang w:val="en-US" w:eastAsia="zh-CN"/>
        </w:rPr>
        <w:t>统筹安排资金，按照其实际出资额的10%给予资本金支持，</w:t>
      </w:r>
      <w:r>
        <w:rPr>
          <w:rFonts w:hint="default" w:ascii="Times New Roman" w:hAnsi="Times New Roman" w:eastAsia="仿宋_GB2312" w:cs="Times New Roman"/>
          <w:sz w:val="32"/>
          <w:szCs w:val="32"/>
          <w:highlight w:val="none"/>
        </w:rPr>
        <w:t>具体如下：</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.十二师（国资）集团公司</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LP1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认缴出资</w:t>
      </w:r>
      <w:r>
        <w:rPr>
          <w:rFonts w:hint="default" w:ascii="Times New Roman" w:hAnsi="Times New Roman" w:eastAsia="仿宋_GB2312" w:cs="Times New Roman"/>
          <w:color w:val="auto"/>
          <w:sz w:val="32"/>
          <w:szCs w:val="32"/>
          <w:highlight w:val="none"/>
          <w:lang w:val="en-US" w:eastAsia="zh-CN"/>
        </w:rPr>
        <w:t>30</w:t>
      </w:r>
      <w:r>
        <w:rPr>
          <w:rFonts w:hint="default" w:ascii="Times New Roman" w:hAnsi="Times New Roman" w:eastAsia="仿宋_GB2312" w:cs="Times New Roman"/>
          <w:color w:val="auto"/>
          <w:sz w:val="32"/>
          <w:szCs w:val="32"/>
          <w:highlight w:val="none"/>
        </w:rPr>
        <w:t>,000万元，占比</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0%，首期实缴出资</w:t>
      </w: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,000万元；</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.天恒基投资集团公司</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LP2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认缴出资</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,000万元，占比2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%，首期实缴出资</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,000万元；</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.新疆中瑞商贸物流集团公司</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LP3</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认缴出资</w:t>
      </w:r>
      <w:r>
        <w:rPr>
          <w:rFonts w:hint="default" w:ascii="Times New Roman" w:hAnsi="Times New Roman" w:eastAsia="仿宋_GB2312" w:cs="Times New Roman"/>
          <w:color w:val="auto"/>
          <w:sz w:val="32"/>
          <w:szCs w:val="32"/>
          <w:highlight w:val="none"/>
          <w:lang w:val="en-US" w:eastAsia="zh-CN"/>
        </w:rPr>
        <w:t>20</w:t>
      </w:r>
      <w:r>
        <w:rPr>
          <w:rFonts w:hint="default" w:ascii="Times New Roman" w:hAnsi="Times New Roman" w:eastAsia="仿宋_GB2312" w:cs="Times New Roman"/>
          <w:color w:val="auto"/>
          <w:sz w:val="32"/>
          <w:szCs w:val="32"/>
          <w:highlight w:val="none"/>
        </w:rPr>
        <w:t>,000万元，占比</w:t>
      </w:r>
      <w:r>
        <w:rPr>
          <w:rFonts w:hint="default" w:ascii="Times New Roman" w:hAnsi="Times New Roman" w:eastAsia="仿宋_GB2312" w:cs="Times New Roman"/>
          <w:color w:val="auto"/>
          <w:sz w:val="32"/>
          <w:szCs w:val="32"/>
          <w:highlight w:val="none"/>
          <w:lang w:val="en-US" w:eastAsia="zh-CN"/>
        </w:rPr>
        <w:t>20</w:t>
      </w:r>
      <w:r>
        <w:rPr>
          <w:rFonts w:hint="default" w:ascii="Times New Roman" w:hAnsi="Times New Roman" w:eastAsia="仿宋_GB2312" w:cs="Times New Roman"/>
          <w:color w:val="auto"/>
          <w:sz w:val="32"/>
          <w:szCs w:val="32"/>
          <w:highlight w:val="none"/>
        </w:rPr>
        <w:t>%，首期实缴出资</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,000万元</w:t>
      </w:r>
      <w:r>
        <w:rPr>
          <w:rFonts w:hint="default" w:ascii="Times New Roman" w:hAnsi="Times New Roman" w:eastAsia="仿宋_GB2312" w:cs="Times New Roman"/>
          <w:color w:val="auto"/>
          <w:sz w:val="32"/>
          <w:szCs w:val="32"/>
          <w:highlight w:val="none"/>
          <w:lang w:val="en-US" w:eastAsia="zh-CN"/>
        </w:rPr>
        <w:t>；</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.新疆九鼎农发集团公司</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LP4</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认缴出资</w:t>
      </w:r>
      <w:r>
        <w:rPr>
          <w:rFonts w:hint="default"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,000万元，占比15%，首期实缴出资</w:t>
      </w:r>
      <w:r>
        <w:rPr>
          <w:rFonts w:hint="default" w:ascii="Times New Roman" w:hAnsi="Times New Roman" w:eastAsia="仿宋_GB2312" w:cs="Times New Roman"/>
          <w:color w:val="auto"/>
          <w:sz w:val="32"/>
          <w:szCs w:val="32"/>
          <w:highlight w:val="none"/>
          <w:lang w:val="en-US" w:eastAsia="zh-CN"/>
        </w:rPr>
        <w:t>3,00</w:t>
      </w:r>
      <w:r>
        <w:rPr>
          <w:rFonts w:hint="default" w:ascii="Times New Roman" w:hAnsi="Times New Roman" w:eastAsia="仿宋_GB2312" w:cs="Times New Roman"/>
          <w:color w:val="auto"/>
          <w:sz w:val="32"/>
          <w:szCs w:val="32"/>
          <w:highlight w:val="none"/>
        </w:rPr>
        <w:t>0万元</w:t>
      </w:r>
      <w:r>
        <w:rPr>
          <w:rFonts w:hint="default" w:ascii="Times New Roman" w:hAnsi="Times New Roman" w:eastAsia="仿宋_GB2312" w:cs="Times New Roman"/>
          <w:color w:val="auto"/>
          <w:sz w:val="32"/>
          <w:szCs w:val="32"/>
          <w:highlight w:val="none"/>
          <w:lang w:val="en-US" w:eastAsia="zh-CN"/>
        </w:rPr>
        <w:t>。</w:t>
      </w:r>
    </w:p>
    <w:p>
      <w:pPr>
        <w:widowControl w:val="0"/>
        <w:wordWrap/>
        <w:adjustRightInd/>
        <w:snapToGrid/>
        <w:spacing w:line="580" w:lineRule="exact"/>
        <w:ind w:firstLine="640" w:firstLineChars="200"/>
        <w:textAlignment w:val="auto"/>
        <w:rPr>
          <w:rFonts w:hint="default" w:ascii="Times New Roman" w:hAnsi="Times New Roman" w:eastAsia="楷体_GB2312" w:cs="Times New Roman"/>
          <w:b/>
          <w:bCs/>
          <w:sz w:val="32"/>
          <w:szCs w:val="32"/>
          <w:highlight w:val="none"/>
        </w:rPr>
      </w:pPr>
      <w:r>
        <w:rPr>
          <w:rFonts w:hint="default" w:ascii="楷体_GB2312" w:hAnsi="楷体_GB2312" w:eastAsia="楷体_GB2312" w:cs="楷体_GB2312"/>
          <w:b w:val="0"/>
          <w:bCs/>
          <w:sz w:val="32"/>
          <w:szCs w:val="32"/>
          <w:highlight w:val="none"/>
          <w:lang w:eastAsia="zh-CN"/>
        </w:rPr>
        <w:t>（二）普通合伙人（</w:t>
      </w:r>
      <w:r>
        <w:rPr>
          <w:rFonts w:hint="default" w:ascii="楷体_GB2312" w:hAnsi="楷体_GB2312" w:eastAsia="楷体_GB2312" w:cs="楷体_GB2312"/>
          <w:b w:val="0"/>
          <w:bCs/>
          <w:sz w:val="32"/>
          <w:szCs w:val="32"/>
          <w:highlight w:val="none"/>
          <w:lang w:val="en-US" w:eastAsia="zh-CN"/>
        </w:rPr>
        <w:t>GP</w:t>
      </w:r>
      <w:r>
        <w:rPr>
          <w:rFonts w:hint="default" w:ascii="楷体_GB2312" w:hAnsi="楷体_GB2312" w:eastAsia="楷体_GB2312" w:cs="楷体_GB2312"/>
          <w:b w:val="0"/>
          <w:bCs/>
          <w:sz w:val="32"/>
          <w:szCs w:val="32"/>
          <w:highlight w:val="none"/>
          <w:lang w:eastAsia="zh-CN"/>
        </w:rPr>
        <w:t>）：</w:t>
      </w:r>
      <w:r>
        <w:rPr>
          <w:rFonts w:hint="default" w:ascii="Times New Roman" w:hAnsi="Times New Roman" w:eastAsia="仿宋_GB2312" w:cs="Times New Roman"/>
          <w:sz w:val="32"/>
          <w:szCs w:val="32"/>
          <w:highlight w:val="none"/>
        </w:rPr>
        <w:t>认缴</w:t>
      </w:r>
      <w:r>
        <w:rPr>
          <w:rFonts w:hint="default" w:ascii="Times New Roman" w:hAnsi="Times New Roman" w:eastAsia="仿宋_GB2312" w:cs="Times New Roman"/>
          <w:sz w:val="32"/>
          <w:szCs w:val="32"/>
          <w:highlight w:val="none"/>
          <w:lang w:val="en-US" w:eastAsia="zh-CN"/>
        </w:rPr>
        <w:t>出资</w:t>
      </w:r>
      <w:r>
        <w:rPr>
          <w:rFonts w:hint="default" w:ascii="Times New Roman" w:hAnsi="Times New Roman" w:eastAsia="仿宋_GB2312" w:cs="Times New Roman"/>
          <w:sz w:val="32"/>
          <w:szCs w:val="32"/>
          <w:highlight w:val="none"/>
        </w:rPr>
        <w:t>总</w:t>
      </w:r>
      <w:r>
        <w:rPr>
          <w:rFonts w:hint="default" w:ascii="Times New Roman" w:hAnsi="Times New Roman" w:eastAsia="仿宋_GB2312" w:cs="Times New Roman"/>
          <w:sz w:val="32"/>
          <w:szCs w:val="32"/>
          <w:highlight w:val="none"/>
          <w:lang w:eastAsia="zh-CN"/>
        </w:rPr>
        <w:t>额</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亿元，</w:t>
      </w:r>
      <w:r>
        <w:rPr>
          <w:rFonts w:hint="default" w:ascii="Times New Roman" w:hAnsi="Times New Roman" w:eastAsia="仿宋_GB2312" w:cs="Times New Roman"/>
          <w:sz w:val="32"/>
          <w:szCs w:val="32"/>
          <w:highlight w:val="none"/>
          <w:lang w:val="en-US" w:eastAsia="zh-CN"/>
        </w:rPr>
        <w:t>首期出资为认缴出资总额的20%，即2080万元，</w:t>
      </w:r>
      <w:r>
        <w:rPr>
          <w:rFonts w:hint="default" w:ascii="Times New Roman" w:hAnsi="Times New Roman" w:eastAsia="仿宋_GB2312" w:cs="Times New Roman"/>
          <w:sz w:val="32"/>
          <w:szCs w:val="32"/>
          <w:highlight w:val="none"/>
        </w:rPr>
        <w:t>具体如下：</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通过公开选聘方式选定的基金管理人担任普通合伙人</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GP1</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、执行事务合伙人1，出资100万元，占比0.1%</w:t>
      </w:r>
      <w:r>
        <w:rPr>
          <w:rFonts w:hint="default" w:ascii="Times New Roman" w:hAnsi="Times New Roman" w:eastAsia="仿宋_GB2312" w:cs="Times New Roman"/>
          <w:color w:val="auto"/>
          <w:sz w:val="32"/>
          <w:szCs w:val="32"/>
          <w:highlight w:val="none"/>
          <w:lang w:eastAsia="zh-CN"/>
        </w:rPr>
        <w:t>；</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sz w:val="32"/>
          <w:szCs w:val="32"/>
          <w:highlight w:val="none"/>
        </w:rPr>
        <w:t>十二</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lang w:val="en-US" w:eastAsia="zh-CN"/>
        </w:rPr>
        <w:t>统筹财政资金作为政府出资，通过十二师授权的政府出资方代表机构（</w:t>
      </w:r>
      <w:r>
        <w:rPr>
          <w:rFonts w:hint="default" w:ascii="Times New Roman" w:hAnsi="Times New Roman" w:eastAsia="仿宋_GB2312" w:cs="Times New Roman"/>
          <w:color w:val="auto"/>
          <w:sz w:val="32"/>
          <w:szCs w:val="32"/>
          <w:highlight w:val="none"/>
          <w:lang w:val="en-US" w:eastAsia="zh-CN"/>
        </w:rPr>
        <w:t>新疆天融通投资管理有限公司</w:t>
      </w:r>
      <w:r>
        <w:rPr>
          <w:rFonts w:hint="eastAsia" w:ascii="Times New Roman" w:hAnsi="Times New Roman" w:eastAsia="仿宋_GB2312" w:cs="Times New Roman"/>
          <w:color w:val="auto"/>
          <w:sz w:val="32"/>
          <w:szCs w:val="32"/>
          <w:highlight w:val="none"/>
          <w:lang w:val="en-US" w:eastAsia="zh-CN"/>
        </w:rPr>
        <w:t>设立的新疆天融通创业投资有限责任公司</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担任普通合伙人</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GP2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、执行事务合伙人</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auto"/>
          <w:sz w:val="32"/>
          <w:szCs w:val="32"/>
          <w:highlight w:val="none"/>
        </w:rPr>
        <w:t>认缴出资</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00万元，占</w:t>
      </w:r>
      <w:r>
        <w:rPr>
          <w:rFonts w:hint="default" w:ascii="Times New Roman" w:hAnsi="Times New Roman" w:eastAsia="仿宋_GB2312" w:cs="Times New Roman"/>
          <w:sz w:val="32"/>
          <w:szCs w:val="32"/>
          <w:highlight w:val="none"/>
          <w:lang w:val="en-US" w:eastAsia="zh-CN"/>
        </w:rPr>
        <w:t>产业引导母基金规模的</w:t>
      </w:r>
      <w:r>
        <w:rPr>
          <w:rFonts w:hint="default" w:ascii="Times New Roman" w:hAnsi="Times New Roman" w:eastAsia="仿宋_GB2312" w:cs="Times New Roman"/>
          <w:color w:val="auto"/>
          <w:sz w:val="32"/>
          <w:szCs w:val="32"/>
          <w:highlight w:val="none"/>
          <w:lang w:val="en-US" w:eastAsia="zh-CN"/>
        </w:rPr>
        <w:t>9.9</w:t>
      </w:r>
      <w:r>
        <w:rPr>
          <w:rFonts w:hint="default" w:ascii="Times New Roman" w:hAnsi="Times New Roman" w:eastAsia="仿宋_GB2312" w:cs="Times New Roman"/>
          <w:color w:val="auto"/>
          <w:sz w:val="32"/>
          <w:szCs w:val="32"/>
          <w:highlight w:val="none"/>
        </w:rPr>
        <w:t>%，首期实缴出资</w:t>
      </w:r>
      <w:r>
        <w:rPr>
          <w:rFonts w:hint="default" w:ascii="Times New Roman" w:hAnsi="Times New Roman" w:eastAsia="仿宋_GB2312" w:cs="Times New Roman"/>
          <w:color w:val="auto"/>
          <w:sz w:val="32"/>
          <w:szCs w:val="32"/>
          <w:highlight w:val="none"/>
          <w:lang w:val="en-US" w:eastAsia="zh-CN"/>
        </w:rPr>
        <w:t>20%，即1,980</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w:t>
      </w:r>
    </w:p>
    <w:p>
      <w:pPr>
        <w:widowControl w:val="0"/>
        <w:wordWrap/>
        <w:adjustRightInd/>
        <w:snapToGrid/>
        <w:spacing w:line="580" w:lineRule="exact"/>
        <w:ind w:firstLine="640" w:firstLineChars="200"/>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rPr>
        <w:t>六、</w:t>
      </w:r>
      <w:r>
        <w:rPr>
          <w:rFonts w:hint="default" w:ascii="Times New Roman" w:hAnsi="Times New Roman" w:eastAsia="黑体" w:cs="Times New Roman"/>
          <w:sz w:val="32"/>
          <w:szCs w:val="32"/>
          <w:highlight w:val="none"/>
          <w:lang w:val="en-US" w:eastAsia="zh-CN"/>
        </w:rPr>
        <w:t>基金费用</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1.基金管理费：投资期不超过基金实缴规模的1%/年，退出期不超过基金实缴规模的0.8%/年，具体通过公开招投标的方式确认。</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2.执行事务合伙人（</w:t>
      </w:r>
      <w:r>
        <w:rPr>
          <w:rFonts w:hint="eastAsia" w:ascii="Times New Roman" w:hAnsi="Times New Roman" w:eastAsia="仿宋_GB2312" w:cs="Times New Roman"/>
          <w:color w:val="auto"/>
          <w:sz w:val="32"/>
          <w:szCs w:val="32"/>
          <w:highlight w:val="none"/>
          <w:lang w:val="en-US" w:eastAsia="zh-CN"/>
        </w:rPr>
        <w:t>新疆天融通创业投资有限责任公司</w:t>
      </w:r>
      <w:r>
        <w:rPr>
          <w:rFonts w:hint="default" w:ascii="Times New Roman" w:hAnsi="Times New Roman" w:eastAsia="仿宋_GB2312" w:cs="Times New Roman"/>
          <w:sz w:val="32"/>
          <w:szCs w:val="32"/>
          <w:highlight w:val="none"/>
          <w:lang w:val="en-US" w:eastAsia="zh-CN"/>
        </w:rPr>
        <w:t>）报酬不超过基金实缴规模的0.4%/年。</w:t>
      </w:r>
    </w:p>
    <w:p>
      <w:pPr>
        <w:widowControl w:val="0"/>
        <w:wordWrap/>
        <w:adjustRightInd/>
        <w:snapToGrid/>
        <w:spacing w:line="58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投资方式</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产业</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主要采取与社会资本合作设立各类子基金的方式进行投资，同时也可适当直接参与项目投资。子基金的组织形式可以采取公司制、合伙制、契约制。</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1.设立子基金投资。</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选择搭配不同的政策性基金、银行保险等金融资本、行业龙头企业等产业资本、自治区辖区内其他政府出资产业投资基金、外部股权投资基金及其他合格的社会资本合作发起设立子基金，再由子基金直接投资具体项目。</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2.直接投资。</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直接股权投资意向项目，促进十二师招商引资、重点项目建设，带动被投企业对接银行等金融机构进行项目贷款或吸引其他社会资金投入，实现投贷联动。</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直接投资项目公司的，投资资金原则上不超过</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认缴规模的20%，在项目公司的持股比例原则上不超过30%，且不为第一大股东。</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3.特别重大的项目按</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一事一议</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的方式经</w:t>
      </w:r>
      <w:r>
        <w:rPr>
          <w:rFonts w:hint="eastAsia" w:ascii="Times New Roman" w:hAnsi="Times New Roman" w:eastAsia="仿宋_GB2312" w:cs="Times New Roman"/>
          <w:sz w:val="32"/>
          <w:szCs w:val="32"/>
          <w:highlight w:val="none"/>
          <w:lang w:val="en-US" w:eastAsia="zh-CN"/>
        </w:rPr>
        <w:t>办公室</w:t>
      </w:r>
      <w:r>
        <w:rPr>
          <w:rFonts w:hint="default" w:ascii="Times New Roman" w:hAnsi="Times New Roman" w:eastAsia="仿宋_GB2312" w:cs="Times New Roman"/>
          <w:sz w:val="32"/>
          <w:szCs w:val="32"/>
          <w:highlight w:val="none"/>
        </w:rPr>
        <w:t>履行相关决策机制后，可以不受上述规模及出资比例限制。</w:t>
      </w:r>
    </w:p>
    <w:p>
      <w:pPr>
        <w:widowControl w:val="0"/>
        <w:wordWrap/>
        <w:adjustRightInd/>
        <w:snapToGrid/>
        <w:spacing w:line="58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、基金投向</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围绕自治区</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十大产业</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建设，聚焦兵团</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七大主导产业</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21条重点产业链</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依托十二师资源禀赋和比较优势，以农副产品精深加工和医药、能源化工和节能环保、高端装备制造和新材料、现代商贸物流和加工制造、城市发展服务和文旅康养为重心，积极聚焦支持新兴产业的扶持培育、传统产业的优化升级、重点产业的招商引资、优势产业的做大做强。</w:t>
      </w:r>
    </w:p>
    <w:p>
      <w:pPr>
        <w:widowControl w:val="0"/>
        <w:wordWrap/>
        <w:adjustRightInd/>
        <w:snapToGrid/>
        <w:spacing w:line="58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、基金架构</w:t>
      </w:r>
    </w:p>
    <w:p>
      <w:pPr>
        <w:widowControl w:val="0"/>
        <w:wordWrap/>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采用母子基金架构，具体如下图所示：</w:t>
      </w:r>
    </w:p>
    <w:p>
      <w:pPr>
        <w:pStyle w:val="2"/>
        <w:numPr>
          <w:ilvl w:val="0"/>
          <w:numId w:val="0"/>
        </w:numPr>
        <w:jc w:val="both"/>
        <w:rPr>
          <w:rFonts w:hint="default"/>
          <w:highlight w:val="none"/>
          <w:lang w:val="en-US" w:eastAsia="zh-CN"/>
        </w:rPr>
      </w:pPr>
      <w:r>
        <w:rPr>
          <w:rFonts w:hint="default" w:ascii="楷体" w:hAnsi="楷体" w:eastAsia="楷体" w:cs="Times New Roman"/>
          <w:b/>
          <w:kern w:val="44"/>
          <w:sz w:val="24"/>
          <w:szCs w:val="24"/>
          <w:highlight w:val="none"/>
          <w:lang w:val="en-US" w:eastAsia="zh-CN" w:bidi="ar-SA"/>
        </w:rPr>
        <w:pict>
          <v:shape id="图片 1" o:spid="_x0000_s1026" type="#_x0000_t75" style="height:163.1pt;width:442.2pt;rotation:0f;" o:ole="f" fillcolor="#FFFFFF" filled="f" o:preferrelative="t" stroked="f" coordorigin="0,0" coordsize="21600,21600">
            <v:fill on="f" color2="#FFFFFF" focus="0%"/>
            <v:imagedata gain="65536f" blacklevel="0f" gamma="0" o:title="" r:id="rId5"/>
            <o:lock v:ext="edit" position="f" selection="f" grouping="f" rotation="f" cropping="f" text="f" aspectratio="t"/>
            <w10:wrap type="none"/>
            <w10:anchorlock/>
          </v:shape>
        </w:pict>
      </w:r>
    </w:p>
    <w:p>
      <w:pPr>
        <w:widowControl w:val="0"/>
        <w:wordWrap/>
        <w:adjustRightInd/>
        <w:snapToGrid/>
        <w:spacing w:line="54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、项目返投</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对于十二师外部的优质项目，</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或子基金对项目进行投资，项目方应承诺将在一定期限内通过设立分支机构等形式将外部优质项目迁入</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要求的行政区域内，基金投资于师内企业的资金原则上不低于</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出资金额的1.2倍。</w:t>
      </w:r>
    </w:p>
    <w:p>
      <w:pPr>
        <w:widowControl w:val="0"/>
        <w:wordWrap/>
        <w:adjustRightInd/>
        <w:snapToGrid/>
        <w:spacing w:line="54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default"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、基金投决会</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基金投决会引导母基金设立投资决策委员会，投资决策委员7席，由师财政局（国资委、金融办）委托的国有出资代表占5席，其中有限合伙人占4席，普通合伙人2占1席；普通合伙人1占2席，项目申请单位人员不能作为投资决策委员会成员。投资决策委员会作出决策须由应参会成员全票同意方可通过。投资决策委员会作为引导母基金的决策管理机构，在</w:t>
      </w:r>
      <w:r>
        <w:rPr>
          <w:rFonts w:hint="eastAsia" w:ascii="Times New Roman" w:hAnsi="Times New Roman" w:eastAsia="仿宋_GB2312" w:cs="Times New Roman"/>
          <w:sz w:val="32"/>
          <w:szCs w:val="32"/>
          <w:highlight w:val="none"/>
          <w:lang w:val="en-US" w:eastAsia="zh-CN"/>
        </w:rPr>
        <w:t>办公室</w:t>
      </w:r>
      <w:r>
        <w:rPr>
          <w:rFonts w:hint="default" w:ascii="Times New Roman" w:hAnsi="Times New Roman" w:eastAsia="仿宋_GB2312" w:cs="Times New Roman"/>
          <w:sz w:val="32"/>
          <w:szCs w:val="32"/>
          <w:highlight w:val="none"/>
          <w:lang w:eastAsia="zh-CN"/>
        </w:rPr>
        <w:t>的监督指导下，主要负责审议批准引导母基金投资项目、收益分配、退出及终止清算等事项。</w:t>
      </w:r>
    </w:p>
    <w:p>
      <w:pPr>
        <w:widowControl w:val="0"/>
        <w:wordWrap/>
        <w:adjustRightInd/>
        <w:snapToGrid/>
        <w:spacing w:line="54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default"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、风险防控机制</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（一）第三方独立托管机制。</w:t>
      </w:r>
      <w:r>
        <w:rPr>
          <w:rFonts w:hint="default" w:ascii="Times New Roman" w:hAnsi="Times New Roman" w:eastAsia="仿宋_GB2312" w:cs="Times New Roman"/>
          <w:sz w:val="32"/>
          <w:szCs w:val="32"/>
          <w:highlight w:val="none"/>
        </w:rPr>
        <w:t>将基金托管至各方认可的银行机构，托管人履行资金的保管和监督职能，专款专用，专账核算；基金每年聘请有资格的</w:t>
      </w:r>
      <w:r>
        <w:rPr>
          <w:rFonts w:hint="default" w:ascii="Times New Roman" w:hAnsi="Times New Roman" w:eastAsia="仿宋_GB2312" w:cs="Times New Roman"/>
          <w:sz w:val="32"/>
          <w:szCs w:val="32"/>
          <w:highlight w:val="none"/>
          <w:lang w:val="en-US" w:eastAsia="zh-CN"/>
        </w:rPr>
        <w:t>会计师事务所</w:t>
      </w:r>
      <w:r>
        <w:rPr>
          <w:rFonts w:hint="default" w:ascii="Times New Roman" w:hAnsi="Times New Roman" w:eastAsia="仿宋_GB2312" w:cs="Times New Roman"/>
          <w:sz w:val="32"/>
          <w:szCs w:val="32"/>
          <w:highlight w:val="none"/>
        </w:rPr>
        <w:t>进行审计。</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（二）信息披露机制。</w:t>
      </w:r>
      <w:r>
        <w:rPr>
          <w:rFonts w:hint="default" w:ascii="Times New Roman" w:hAnsi="Times New Roman" w:eastAsia="仿宋_GB2312" w:cs="Times New Roman"/>
          <w:sz w:val="32"/>
          <w:szCs w:val="32"/>
          <w:highlight w:val="none"/>
        </w:rPr>
        <w:t>基金管理人定期将基金投资运作、项目进展和资金使用等情况上报政府出资方；每季度向</w:t>
      </w:r>
      <w:r>
        <w:rPr>
          <w:rFonts w:hint="eastAsia" w:ascii="Times New Roman" w:hAnsi="Times New Roman" w:eastAsia="仿宋_GB2312" w:cs="Times New Roman"/>
          <w:sz w:val="32"/>
          <w:szCs w:val="32"/>
          <w:highlight w:val="none"/>
          <w:lang w:eastAsia="zh-CN"/>
        </w:rPr>
        <w:t>师财政局（国资委、金融办）</w:t>
      </w:r>
      <w:r>
        <w:rPr>
          <w:rFonts w:hint="default" w:ascii="Times New Roman" w:hAnsi="Times New Roman" w:eastAsia="仿宋_GB2312" w:cs="Times New Roman"/>
          <w:sz w:val="32"/>
          <w:szCs w:val="32"/>
          <w:highlight w:val="none"/>
        </w:rPr>
        <w:t>报送《</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运行报告》，并于每个会计年度结束后4个月内提交经会计师事务所审计的年度审计报告及</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年度执行情况报告；基金运作和管理中如发生重大问题或重大事项，基金管理人应尽快报基金投资决策委员会审议。</w:t>
      </w:r>
    </w:p>
    <w:p>
      <w:pPr>
        <w:widowControl w:val="0"/>
        <w:wordWrap/>
        <w:adjustRightInd/>
        <w:snapToGrid/>
        <w:spacing w:line="54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default" w:ascii="Times New Roman" w:hAnsi="Times New Roman" w:eastAsia="黑体" w:cs="Times New Roman"/>
          <w:sz w:val="32"/>
          <w:szCs w:val="32"/>
          <w:highlight w:val="none"/>
          <w:lang w:val="en-US" w:eastAsia="zh-CN"/>
        </w:rPr>
        <w:t>三</w:t>
      </w:r>
      <w:r>
        <w:rPr>
          <w:rFonts w:hint="default" w:ascii="Times New Roman" w:hAnsi="Times New Roman" w:eastAsia="黑体" w:cs="Times New Roman"/>
          <w:sz w:val="32"/>
          <w:szCs w:val="32"/>
          <w:highlight w:val="none"/>
        </w:rPr>
        <w:t>、收益分配</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基金存续期内原则上不进行收益分配，待基金进入清算期后，按照如下的收益分配原则及方式进行分配：</w:t>
      </w:r>
    </w:p>
    <w:p>
      <w:pPr>
        <w:wordWrap/>
        <w:adjustRightInd/>
        <w:snapToGrid/>
        <w:spacing w:line="540" w:lineRule="exact"/>
        <w:ind w:firstLine="640" w:firstLineChars="200"/>
        <w:textAlignment w:val="auto"/>
        <w:outlineLvl w:val="1"/>
        <w:rPr>
          <w:rFonts w:hint="default" w:ascii="楷体_GB2312" w:hAnsi="楷体_GB2312" w:eastAsia="楷体_GB2312" w:cs="楷体_GB2312"/>
          <w:b w:val="0"/>
          <w:bCs/>
          <w:sz w:val="32"/>
          <w:szCs w:val="32"/>
          <w:highlight w:val="none"/>
          <w:lang w:val="en-US" w:eastAsia="zh-CN"/>
        </w:rPr>
      </w:pPr>
      <w:r>
        <w:rPr>
          <w:rFonts w:hint="default" w:ascii="楷体_GB2312" w:hAnsi="楷体_GB2312" w:eastAsia="楷体_GB2312" w:cs="楷体_GB2312"/>
          <w:b w:val="0"/>
          <w:bCs/>
          <w:sz w:val="32"/>
          <w:szCs w:val="32"/>
          <w:highlight w:val="none"/>
          <w:lang w:val="en-US" w:eastAsia="zh-CN"/>
        </w:rPr>
        <w:t>（一）本金分配</w:t>
      </w:r>
    </w:p>
    <w:p>
      <w:pPr>
        <w:widowControl w:val="0"/>
        <w:numPr>
          <w:numId w:val="0"/>
        </w:numPr>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按照全体合伙人的实缴出资额占合伙企业实缴出资总额的比例，向全体合伙人进行分配，直至全体合伙人从合伙企业中收回全部实缴出资额；</w:t>
      </w:r>
    </w:p>
    <w:p>
      <w:pPr>
        <w:wordWrap/>
        <w:adjustRightInd/>
        <w:snapToGrid/>
        <w:spacing w:line="540" w:lineRule="exact"/>
        <w:ind w:firstLine="640" w:firstLineChars="200"/>
        <w:textAlignment w:val="auto"/>
        <w:outlineLvl w:val="1"/>
        <w:rPr>
          <w:rFonts w:hint="default" w:ascii="楷体_GB2312" w:hAnsi="楷体_GB2312" w:eastAsia="楷体_GB2312" w:cs="楷体_GB2312"/>
          <w:b w:val="0"/>
          <w:bCs/>
          <w:sz w:val="32"/>
          <w:szCs w:val="32"/>
          <w:highlight w:val="none"/>
          <w:lang w:val="en-US" w:eastAsia="zh-CN"/>
        </w:rPr>
      </w:pP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二</w:t>
      </w: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收益分配</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在按照前述约定进行分配后，仍有剩余可分配收入的为投资收益，按照各合伙人的实缴出资额占合伙企业实缴出资总额的比例，向各合伙人进行分配，直至各合伙人每笔实缴出资额自其划转至托管户之日起至分配日（含当日）止的取得的收益达到单利5%</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年；</w:t>
      </w:r>
    </w:p>
    <w:p>
      <w:pPr>
        <w:wordWrap/>
        <w:adjustRightInd/>
        <w:snapToGrid/>
        <w:spacing w:line="540" w:lineRule="exact"/>
        <w:ind w:firstLine="640" w:firstLineChars="200"/>
        <w:textAlignment w:val="auto"/>
        <w:outlineLvl w:val="1"/>
        <w:rPr>
          <w:rFonts w:hint="default" w:ascii="楷体_GB2312" w:hAnsi="楷体_GB2312" w:eastAsia="楷体_GB2312" w:cs="楷体_GB2312"/>
          <w:b w:val="0"/>
          <w:bCs/>
          <w:sz w:val="32"/>
          <w:szCs w:val="32"/>
          <w:highlight w:val="none"/>
          <w:lang w:val="en-US" w:eastAsia="zh-CN"/>
        </w:rPr>
      </w:pP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三</w:t>
      </w:r>
      <w:r>
        <w:rPr>
          <w:rFonts w:hint="default" w:ascii="楷体_GB2312" w:hAnsi="楷体_GB2312" w:eastAsia="楷体_GB2312" w:cs="楷体_GB2312"/>
          <w:b w:val="0"/>
          <w:bCs/>
          <w:sz w:val="32"/>
          <w:szCs w:val="32"/>
          <w:highlight w:val="none"/>
          <w:lang w:eastAsia="zh-CN"/>
        </w:rPr>
        <w:t>）</w:t>
      </w:r>
      <w:r>
        <w:rPr>
          <w:rFonts w:hint="default" w:ascii="楷体_GB2312" w:hAnsi="楷体_GB2312" w:eastAsia="楷体_GB2312" w:cs="楷体_GB2312"/>
          <w:b w:val="0"/>
          <w:bCs/>
          <w:sz w:val="32"/>
          <w:szCs w:val="32"/>
          <w:highlight w:val="none"/>
          <w:lang w:val="en-US" w:eastAsia="zh-CN"/>
        </w:rPr>
        <w:t>超额收益</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在按照前述两项的约定进行分配后，仍有剩余可分配收入的为投资的超额收益，向普通合伙人分配20%后，剩余超额收益按照有限合伙人实缴出资比例进行分配。</w:t>
      </w:r>
    </w:p>
    <w:p>
      <w:pPr>
        <w:widowControl w:val="0"/>
        <w:wordWrap/>
        <w:adjustRightInd/>
        <w:snapToGrid/>
        <w:spacing w:line="54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default" w:ascii="Times New Roman" w:hAnsi="Times New Roman" w:eastAsia="黑体" w:cs="Times New Roman"/>
          <w:sz w:val="32"/>
          <w:szCs w:val="32"/>
          <w:highlight w:val="none"/>
          <w:lang w:val="en-US" w:eastAsia="zh-CN"/>
        </w:rPr>
        <w:t>四</w:t>
      </w:r>
      <w:r>
        <w:rPr>
          <w:rFonts w:hint="default" w:ascii="Times New Roman" w:hAnsi="Times New Roman" w:eastAsia="黑体" w:cs="Times New Roman"/>
          <w:sz w:val="32"/>
          <w:szCs w:val="32"/>
          <w:highlight w:val="none"/>
        </w:rPr>
        <w:t>、基金退出</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原则上</w:t>
      </w:r>
      <w:r>
        <w:rPr>
          <w:rFonts w:hint="default" w:ascii="Times New Roman" w:hAnsi="Times New Roman" w:eastAsia="仿宋_GB2312" w:cs="Times New Roman"/>
          <w:color w:val="000000"/>
          <w:sz w:val="32"/>
          <w:szCs w:val="32"/>
          <w:highlight w:val="none"/>
          <w:lang w:eastAsia="zh-CN"/>
        </w:rPr>
        <w:t>引导母基金</w:t>
      </w:r>
      <w:r>
        <w:rPr>
          <w:rFonts w:hint="default" w:ascii="Times New Roman" w:hAnsi="Times New Roman" w:eastAsia="仿宋_GB2312" w:cs="Times New Roman"/>
          <w:color w:val="000000"/>
          <w:sz w:val="32"/>
          <w:szCs w:val="32"/>
          <w:highlight w:val="none"/>
        </w:rPr>
        <w:t>在子基金存续期满后退出。确需延长存续期的，应报经基金投资决策委员会批准后，与其他出资方按约定程序办理。</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楷体_GB2312" w:hAnsi="楷体_GB2312" w:eastAsia="楷体_GB2312" w:cs="楷体_GB2312"/>
          <w:b w:val="0"/>
          <w:bCs/>
          <w:sz w:val="32"/>
          <w:szCs w:val="32"/>
          <w:highlight w:val="none"/>
          <w:lang w:eastAsia="zh-CN"/>
        </w:rPr>
        <w:t>（一）二级市场退出：</w:t>
      </w:r>
      <w:r>
        <w:rPr>
          <w:rFonts w:hint="default" w:ascii="Times New Roman" w:hAnsi="Times New Roman" w:eastAsia="仿宋_GB2312" w:cs="Times New Roman"/>
          <w:color w:val="000000"/>
          <w:sz w:val="32"/>
          <w:szCs w:val="32"/>
          <w:highlight w:val="none"/>
        </w:rPr>
        <w:t>被投标的实现沪深交易所等板块上市，</w:t>
      </w:r>
      <w:r>
        <w:rPr>
          <w:rFonts w:hint="default" w:ascii="Times New Roman" w:hAnsi="Times New Roman" w:eastAsia="仿宋_GB2312" w:cs="Times New Roman"/>
          <w:color w:val="000000"/>
          <w:sz w:val="32"/>
          <w:szCs w:val="32"/>
          <w:highlight w:val="none"/>
          <w:lang w:eastAsia="zh-CN"/>
        </w:rPr>
        <w:t>引导母基金</w:t>
      </w:r>
      <w:r>
        <w:rPr>
          <w:rFonts w:hint="default" w:ascii="Times New Roman" w:hAnsi="Times New Roman" w:eastAsia="仿宋_GB2312" w:cs="Times New Roman"/>
          <w:color w:val="000000"/>
          <w:sz w:val="32"/>
          <w:szCs w:val="32"/>
          <w:highlight w:val="none"/>
        </w:rPr>
        <w:t>可以根据二级市场的交易价格，择机出售股票，实现退出；</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楷体_GB2312" w:hAnsi="楷体_GB2312" w:eastAsia="楷体_GB2312" w:cs="楷体_GB2312"/>
          <w:b w:val="0"/>
          <w:bCs/>
          <w:sz w:val="32"/>
          <w:szCs w:val="32"/>
          <w:highlight w:val="none"/>
          <w:lang w:eastAsia="zh-CN"/>
        </w:rPr>
        <w:t>（二）被并购退出：</w:t>
      </w:r>
      <w:r>
        <w:rPr>
          <w:rFonts w:hint="default" w:ascii="Times New Roman" w:hAnsi="Times New Roman" w:eastAsia="仿宋_GB2312" w:cs="Times New Roman"/>
          <w:color w:val="000000"/>
          <w:sz w:val="32"/>
          <w:szCs w:val="32"/>
          <w:highlight w:val="none"/>
        </w:rPr>
        <w:t>被投标的由行业龙头或其他实力主体收购，按照市场化原则，以市场评估价格转让股权，实现</w:t>
      </w:r>
      <w:r>
        <w:rPr>
          <w:rFonts w:hint="default" w:ascii="Times New Roman" w:hAnsi="Times New Roman" w:eastAsia="仿宋_GB2312" w:cs="Times New Roman"/>
          <w:color w:val="000000"/>
          <w:sz w:val="32"/>
          <w:szCs w:val="32"/>
          <w:highlight w:val="none"/>
          <w:lang w:eastAsia="zh-CN"/>
        </w:rPr>
        <w:t>引导母基金</w:t>
      </w:r>
      <w:r>
        <w:rPr>
          <w:rFonts w:hint="default" w:ascii="Times New Roman" w:hAnsi="Times New Roman" w:eastAsia="仿宋_GB2312" w:cs="Times New Roman"/>
          <w:color w:val="000000"/>
          <w:sz w:val="32"/>
          <w:szCs w:val="32"/>
          <w:highlight w:val="none"/>
        </w:rPr>
        <w:t>退出；</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楷体_GB2312" w:hAnsi="楷体_GB2312" w:eastAsia="楷体_GB2312" w:cs="楷体_GB2312"/>
          <w:b w:val="0"/>
          <w:bCs/>
          <w:sz w:val="32"/>
          <w:szCs w:val="32"/>
          <w:highlight w:val="none"/>
          <w:lang w:eastAsia="zh-CN"/>
        </w:rPr>
        <w:t>（三）实控人回购：</w:t>
      </w:r>
      <w:r>
        <w:rPr>
          <w:rFonts w:hint="default" w:ascii="Times New Roman" w:hAnsi="Times New Roman" w:eastAsia="仿宋_GB2312" w:cs="Times New Roman"/>
          <w:color w:val="000000"/>
          <w:sz w:val="32"/>
          <w:szCs w:val="32"/>
          <w:highlight w:val="none"/>
        </w:rPr>
        <w:t>被投标的触发对赌协议等协议安排，由被投标的实控人或控股股东回购</w:t>
      </w:r>
      <w:r>
        <w:rPr>
          <w:rFonts w:hint="default" w:ascii="Times New Roman" w:hAnsi="Times New Roman" w:eastAsia="仿宋_GB2312" w:cs="Times New Roman"/>
          <w:color w:val="000000"/>
          <w:sz w:val="32"/>
          <w:szCs w:val="32"/>
          <w:highlight w:val="none"/>
          <w:lang w:eastAsia="zh-CN"/>
        </w:rPr>
        <w:t>引导母基金</w:t>
      </w:r>
      <w:r>
        <w:rPr>
          <w:rFonts w:hint="default" w:ascii="Times New Roman" w:hAnsi="Times New Roman" w:eastAsia="仿宋_GB2312" w:cs="Times New Roman"/>
          <w:color w:val="000000"/>
          <w:sz w:val="32"/>
          <w:szCs w:val="32"/>
          <w:highlight w:val="none"/>
        </w:rPr>
        <w:t>持有的股权，实现</w:t>
      </w:r>
      <w:r>
        <w:rPr>
          <w:rFonts w:hint="default" w:ascii="Times New Roman" w:hAnsi="Times New Roman" w:eastAsia="仿宋_GB2312" w:cs="Times New Roman"/>
          <w:color w:val="000000"/>
          <w:sz w:val="32"/>
          <w:szCs w:val="32"/>
          <w:highlight w:val="none"/>
          <w:lang w:eastAsia="zh-CN"/>
        </w:rPr>
        <w:t>引导母基金</w:t>
      </w:r>
      <w:r>
        <w:rPr>
          <w:rFonts w:hint="default" w:ascii="Times New Roman" w:hAnsi="Times New Roman" w:eastAsia="仿宋_GB2312" w:cs="Times New Roman"/>
          <w:color w:val="000000"/>
          <w:sz w:val="32"/>
          <w:szCs w:val="32"/>
          <w:highlight w:val="none"/>
        </w:rPr>
        <w:t>退出；</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楷体_GB2312" w:hAnsi="楷体_GB2312" w:eastAsia="楷体_GB2312" w:cs="楷体_GB2312"/>
          <w:b w:val="0"/>
          <w:bCs/>
          <w:sz w:val="32"/>
          <w:szCs w:val="32"/>
          <w:highlight w:val="none"/>
          <w:lang w:eastAsia="zh-CN"/>
        </w:rPr>
        <w:t>（四）公募REITs退出：</w:t>
      </w:r>
      <w:r>
        <w:rPr>
          <w:rFonts w:hint="default" w:ascii="Times New Roman" w:hAnsi="Times New Roman" w:eastAsia="仿宋_GB2312" w:cs="Times New Roman"/>
          <w:color w:val="000000"/>
          <w:sz w:val="32"/>
          <w:szCs w:val="32"/>
          <w:highlight w:val="none"/>
        </w:rPr>
        <w:t>对被投资项目进行孵化培育、运营提质，底层资产获得稳定现金流后，转换为Pre-REITs基金，形成公募REITs前端资产供应，再通过公募REITs上市实现基金退出。</w:t>
      </w:r>
    </w:p>
    <w:p>
      <w:pPr>
        <w:widowControl w:val="0"/>
        <w:wordWrap/>
        <w:adjustRightInd/>
        <w:snapToGrid/>
        <w:spacing w:line="54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default"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、注意事项</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（一）投资容错。</w:t>
      </w:r>
      <w:r>
        <w:rPr>
          <w:rFonts w:hint="default" w:ascii="Times New Roman" w:hAnsi="Times New Roman" w:eastAsia="仿宋_GB2312" w:cs="Times New Roman"/>
          <w:sz w:val="32"/>
          <w:szCs w:val="32"/>
          <w:highlight w:val="none"/>
        </w:rPr>
        <w:t>对基金投资坚持宽容失误、纠正偏差的容错纠错机制。要遵循市场运作规律，容忍正常的投资风险，对已履行规定程序做出决策的投资、进行基金投资且勤勉尽责未谋取私利的，如因不可抗力、政策变动或发生市场（经营）风险等因素造成投资损失的，不作为追责依据，不追究主管部门、管理机构及相关人员责任，不做负面评价；基金绩效评价从整体效能出发，对基金政策目标、政策效果进行综合绩效评价，不对单个项目盈亏进行考核。</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楷体_GB2312" w:hAnsi="楷体_GB2312" w:eastAsia="楷体_GB2312" w:cs="楷体_GB2312"/>
          <w:b w:val="0"/>
          <w:bCs/>
          <w:sz w:val="32"/>
          <w:szCs w:val="32"/>
          <w:highlight w:val="none"/>
          <w:lang w:eastAsia="zh-CN"/>
        </w:rPr>
        <w:t>（二）投贷联动。</w:t>
      </w:r>
      <w:r>
        <w:rPr>
          <w:rFonts w:hint="default" w:ascii="Times New Roman" w:hAnsi="Times New Roman" w:eastAsia="仿宋_GB2312" w:cs="Times New Roman"/>
          <w:sz w:val="32"/>
          <w:szCs w:val="32"/>
          <w:highlight w:val="none"/>
        </w:rPr>
        <w:t>为充分支持十二师产业发展，通过政府牵头，由</w:t>
      </w:r>
      <w:r>
        <w:rPr>
          <w:rFonts w:hint="default" w:ascii="Times New Roman" w:hAnsi="Times New Roman" w:eastAsia="仿宋_GB2312" w:cs="Times New Roman"/>
          <w:sz w:val="32"/>
          <w:szCs w:val="32"/>
          <w:highlight w:val="none"/>
          <w:lang w:eastAsia="zh-CN"/>
        </w:rPr>
        <w:t>引导母基金</w:t>
      </w:r>
      <w:r>
        <w:rPr>
          <w:rFonts w:hint="default" w:ascii="Times New Roman" w:hAnsi="Times New Roman" w:eastAsia="仿宋_GB2312" w:cs="Times New Roman"/>
          <w:sz w:val="32"/>
          <w:szCs w:val="32"/>
          <w:highlight w:val="none"/>
        </w:rPr>
        <w:t>与多家商业银行展开合作，建立</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股权+债权</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的投贷联动融资新模式。围绕不同企业的差异化融资需求，建立紧密的信息共享机制，在信息、渠道、产品、客户等不同层面展开合作，运用丰富的金融工具，满足企业多元化需求，为十二师重点企业打造一站式金融服务，降低企业的融资成本，</w:t>
      </w:r>
      <w:r>
        <w:rPr>
          <w:rFonts w:hint="default" w:ascii="Times New Roman" w:hAnsi="Times New Roman" w:eastAsia="仿宋_GB2312" w:cs="Times New Roman"/>
          <w:sz w:val="32"/>
          <w:szCs w:val="32"/>
          <w:highlight w:val="none"/>
          <w:lang w:val="en-US" w:eastAsia="zh-CN"/>
        </w:rPr>
        <w:t>切实</w:t>
      </w:r>
      <w:r>
        <w:rPr>
          <w:rFonts w:hint="default" w:ascii="Times New Roman" w:hAnsi="Times New Roman" w:eastAsia="仿宋_GB2312" w:cs="Times New Roman"/>
          <w:sz w:val="32"/>
          <w:szCs w:val="32"/>
          <w:highlight w:val="none"/>
        </w:rPr>
        <w:t>改善企业融资环境，助力企业快速发展。</w:t>
      </w:r>
    </w:p>
    <w:p>
      <w:pPr>
        <w:widowControl w:val="0"/>
        <w:wordWrap/>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楷体">
    <w:panose1 w:val="02010609060101010101"/>
    <w:charset w:val="7A"/>
    <w:family w:val="auto"/>
    <w:pitch w:val="default"/>
    <w:sig w:usb0="800002BF" w:usb1="38CF7CFA" w:usb2="00000016" w:usb3="00000000" w:csb0="00040001" w:csb1="00000000"/>
  </w:font>
  <w:font w:name="Calibri">
    <w:panose1 w:val="020F0502020204030204"/>
    <w:charset w:val="00"/>
    <w:family w:val="auto"/>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
    <w:nsid w:val="00000002"/>
    <w:multiLevelType w:val="multilevel"/>
    <w:tmpl w:val="00000002"/>
    <w:lvl w:ilvl="0" w:tentative="1">
      <w:start w:val="1"/>
      <w:numFmt w:val="decimal"/>
      <w:pStyle w:val="2"/>
      <w:suff w:val="space"/>
      <w:lvlText w:val="第%1条"/>
      <w:lvlJc w:val="center"/>
      <w:pPr>
        <w:ind w:left="993" w:firstLine="284"/>
      </w:pPr>
      <w:rPr>
        <w:rFonts w:hint="default" w:ascii="Times New Roman" w:hAnsi="Times New Roman" w:eastAsia="楷体"/>
        <w:b/>
        <w:u w:val="none"/>
      </w:rPr>
    </w:lvl>
    <w:lvl w:ilvl="1" w:tentative="1">
      <w:start w:val="1"/>
      <w:numFmt w:val="decimal"/>
      <w:lvlText w:val="%1.%2"/>
      <w:lvlJc w:val="left"/>
      <w:pPr>
        <w:tabs>
          <w:tab w:val="left" w:pos="1050"/>
        </w:tabs>
        <w:ind w:left="1532" w:hanging="482"/>
      </w:pPr>
      <w:rPr>
        <w:rFonts w:hint="default" w:ascii="Times New Roman" w:hAnsi="Times New Roman" w:eastAsia="楷体"/>
        <w:b/>
        <w:u w:val="none"/>
      </w:rPr>
    </w:lvl>
    <w:lvl w:ilvl="2" w:tentative="1">
      <w:start w:val="1"/>
      <w:numFmt w:val="decimal"/>
      <w:lvlText w:val="%1.%2.%3"/>
      <w:lvlJc w:val="left"/>
      <w:pPr>
        <w:tabs>
          <w:tab w:val="left" w:pos="1078"/>
        </w:tabs>
        <w:ind w:left="1078" w:hanging="652"/>
      </w:pPr>
      <w:rPr>
        <w:rFonts w:hint="default"/>
        <w:b w:val="0"/>
        <w:u w:val="none"/>
      </w:rPr>
    </w:lvl>
    <w:lvl w:ilvl="3" w:tentative="1">
      <w:start w:val="1"/>
      <w:numFmt w:val="decimal"/>
      <w:lvlText w:val="（%4）"/>
      <w:lvlJc w:val="left"/>
      <w:pPr>
        <w:tabs>
          <w:tab w:val="left" w:pos="1530"/>
        </w:tabs>
        <w:ind w:left="1730" w:hanging="680"/>
      </w:pPr>
      <w:rPr>
        <w:rFonts w:hint="default"/>
        <w:u w:val="none"/>
        <w:lang w:val="en-US"/>
      </w:rPr>
    </w:lvl>
    <w:lvl w:ilvl="4" w:tentative="1">
      <w:start w:val="1"/>
      <w:numFmt w:val="decimal"/>
      <w:lvlText w:val="%1.%2.%3.%4.%5"/>
      <w:lvlJc w:val="left"/>
      <w:pPr>
        <w:ind w:left="2551" w:hanging="850"/>
      </w:pPr>
      <w:rPr>
        <w:rFonts w:hint="default"/>
        <w:u w:val="none"/>
      </w:rPr>
    </w:lvl>
    <w:lvl w:ilvl="5" w:tentative="1">
      <w:start w:val="1"/>
      <w:numFmt w:val="decimal"/>
      <w:lvlText w:val="%1.%2.%3.%4.%5.%6"/>
      <w:lvlJc w:val="left"/>
      <w:pPr>
        <w:ind w:left="3260" w:hanging="1134"/>
      </w:pPr>
      <w:rPr>
        <w:rFonts w:hint="default"/>
        <w:u w:val="none"/>
      </w:rPr>
    </w:lvl>
    <w:lvl w:ilvl="6" w:tentative="1">
      <w:start w:val="1"/>
      <w:numFmt w:val="decimal"/>
      <w:lvlText w:val="%1.%2.%3.%4.%5.%6.%7"/>
      <w:lvlJc w:val="left"/>
      <w:pPr>
        <w:ind w:left="3827" w:hanging="1276"/>
      </w:pPr>
      <w:rPr>
        <w:rFonts w:hint="default"/>
        <w:u w:val="none"/>
      </w:rPr>
    </w:lvl>
    <w:lvl w:ilvl="7" w:tentative="1">
      <w:start w:val="1"/>
      <w:numFmt w:val="decimal"/>
      <w:lvlText w:val="%1.%2.%3.%4.%5.%6.%7.%8"/>
      <w:lvlJc w:val="left"/>
      <w:pPr>
        <w:ind w:left="4394" w:hanging="1418"/>
      </w:pPr>
      <w:rPr>
        <w:rFonts w:hint="default"/>
        <w:u w:val="none"/>
      </w:rPr>
    </w:lvl>
    <w:lvl w:ilvl="8" w:tentative="1">
      <w:start w:val="1"/>
      <w:numFmt w:val="decimal"/>
      <w:lvlText w:val="%1.%2.%3.%4.%5.%6.%7.%8.%9"/>
      <w:lvlJc w:val="left"/>
      <w:pPr>
        <w:ind w:left="5102" w:hanging="1700"/>
      </w:pPr>
      <w:rPr>
        <w:rFonts w:hint="default"/>
        <w:u w:val="none"/>
      </w:rPr>
    </w:lvl>
  </w:abstractNum>
  <w:num w:numId="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50A502FC"/>
    <w:rsid w:val="50A502FC"/>
    <w:rsid w:val="7C9E522D"/>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numPr>
        <w:ilvl w:val="0"/>
        <w:numId w:val="1"/>
      </w:numPr>
      <w:spacing w:before="156" w:beforeLines="50" w:after="156" w:afterLines="50"/>
      <w:jc w:val="center"/>
      <w:outlineLvl w:val="0"/>
    </w:pPr>
    <w:rPr>
      <w:rFonts w:ascii="楷体" w:hAnsi="楷体" w:eastAsia="楷体" w:cs="Times New Roman"/>
      <w:b/>
      <w:kern w:val="44"/>
      <w:sz w:val="24"/>
    </w:rPr>
  </w:style>
  <w:style w:type="character" w:default="1" w:styleId="4">
    <w:name w:val="Default Paragraph Font"/>
    <w:semiHidden/>
    <w:uiPriority w:val="0"/>
  </w:style>
  <w:style w:type="table" w:default="1" w:styleId="5">
    <w:name w:val="Normal Table"/>
    <w:semiHidden/>
    <w:qFormat/>
    <w:uiPriority w:val="0"/>
    <w:tblPr>
      <w:tblStyle w:val="5"/>
      <w:tblLayout w:type="fixed"/>
      <w:tblCellMar>
        <w:top w:w="0" w:type="dxa"/>
        <w:left w:w="108" w:type="dxa"/>
        <w:bottom w:w="0" w:type="dxa"/>
        <w:right w:w="108" w:type="dxa"/>
      </w:tblCellMar>
    </w:tblPr>
    <w:tcPr>
      <w:textDirection w:val="lrTb"/>
    </w:tcPr>
  </w:style>
  <w:style w:type="paragraph" w:styleId="3">
    <w:name w:val="annotation text"/>
    <w:basedOn w:val="1"/>
    <w:qFormat/>
    <w:uiPriority w:val="0"/>
    <w:pPr>
      <w:jc w:val="left"/>
    </w:pPr>
  </w:style>
</w:styles>
</file>

<file path=word/_rels/document.xml.rels><?xml version="1.0" encoding="UTF-8" standalone="yes"?>
<Relationships xmlns="http://schemas.openxmlformats.org/package/2006/relationships"><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2026-07-30T04:19:00Z</dcterms:created>
  <dc:creator>1</dc:creator>
  <cp:lastModifiedBy>Administrator</cp:lastModifiedBy>
  <dcterms:modified xsi:type="dcterms:W3CDTF">2026-07-30T04:23:40Z</dcterms:modified>
  <dc:title>附件3</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y fmtid="{D5CDD505-2E9C-101B-9397-08002B2CF9AE}" pid="3" name="ICV">
    <vt:lpwstr>9AC9CDBBBE6F4ED2B2CEE82112212C16_11</vt:lpwstr>
  </property>
  <property fmtid="{D5CDD505-2E9C-101B-9397-08002B2CF9AE}" pid="4" name="KSOTemplateDocerSaveRecord">
    <vt:lpwstr>eyJoZGlkIjoiZGNlOGU4OGIyMGZhN2FjNzdlYTIxMmFmMmM0NTU2NTMiLCJ1c2VySWQiOiIyNTE3NTIzODYifQ==</vt:lpwstr>
  </property>
</Properties>
</file>