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7F7A">
      <w:pPr>
        <w:pStyle w:val="2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bookmarkStart w:id="2" w:name="_GoBack"/>
      <w:bookmarkEnd w:id="2"/>
    </w:p>
    <w:p w14:paraId="71F60F1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关于新疆普托循环科技有限公司高性能载具研发、高分子材料改性、生产、制造及运营</w:t>
      </w:r>
    </w:p>
    <w:p w14:paraId="0075261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Times New Roman" w:hAnsi="Times New Roman" w:eastAsia="方正小标宋简体" w:cs="Times New Roman"/>
          <w:sz w:val="44"/>
          <w:szCs w:val="44"/>
          <w:lang w:val="en-US" w:eastAsia="zh-CN"/>
        </w:rPr>
        <w:t>项目</w:t>
      </w:r>
      <w:r>
        <w:rPr>
          <w:rFonts w:hint="default" w:ascii="Times New Roman" w:hAnsi="Times New Roman" w:eastAsia="方正小标宋简体" w:cs="Times New Roman"/>
          <w:b w:val="0"/>
          <w:bCs w:val="0"/>
          <w:color w:val="auto"/>
          <w:spacing w:val="-20"/>
          <w:sz w:val="44"/>
          <w:szCs w:val="44"/>
          <w:lang w:val="en-US" w:eastAsia="zh-CN"/>
        </w:rPr>
        <w:t>环境影响报告表</w:t>
      </w:r>
      <w:r>
        <w:rPr>
          <w:rFonts w:hint="eastAsia" w:ascii="方正小标宋简体" w:hAnsi="方正小标宋简体" w:eastAsia="方正小标宋简体" w:cs="方正小标宋简体"/>
          <w:sz w:val="44"/>
          <w:szCs w:val="44"/>
          <w:lang w:val="en-US" w:eastAsia="zh-CN"/>
        </w:rPr>
        <w:t>的批复</w:t>
      </w:r>
    </w:p>
    <w:p w14:paraId="67C52F69">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eastAsia="仿宋_GB2312" w:cs="Times New Roman"/>
          <w:sz w:val="32"/>
          <w:szCs w:val="32"/>
        </w:rPr>
      </w:pPr>
    </w:p>
    <w:p w14:paraId="61DE081C">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新疆普托循环科技有限公司：</w:t>
      </w:r>
    </w:p>
    <w:p w14:paraId="5663E4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新疆水之澈工程咨询服务有限公司编制的《新疆普托循环科技有限公司高性能载具研发、高分子材料改性、生产、制造及运营项目环境影响报告表》（以下简称《报告表》）收悉。根据《中华人民共和国行政许可法》第三十八条第一款、《中华人民共和国环境影响评价法》第二十二条第三款，经审查，现批复如下</w:t>
      </w:r>
      <w:r>
        <w:rPr>
          <w:rFonts w:hint="eastAsia" w:ascii="Times New Roman" w:hAnsi="Times New Roman" w:eastAsia="仿宋_GB2312" w:cs="Times New Roman"/>
          <w:color w:val="auto"/>
          <w:sz w:val="32"/>
          <w:szCs w:val="32"/>
          <w:lang w:val="en-US" w:eastAsia="zh-CN"/>
        </w:rPr>
        <w:t>：</w:t>
      </w:r>
    </w:p>
    <w:p w14:paraId="43F575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本项目位于新疆乌鲁木齐市经济技术开发区（头屯河区）兵团乌鲁木齐经济技术开发区玉兰一街4号中国（新疆）自由贸易试验区蔷薇一街以南，梧桐路以东。厂址中心地理坐标为东经87°22′22.883″，北纬43°42′19.295″。项目区东侧为沙枣路；南侧为新疆丰瑞国际贸易有限公司、新疆丝路通达商贸有限公司；西侧为梧桐路，隔路为空地；北侧为蔷薇一街。</w:t>
      </w:r>
    </w:p>
    <w:p w14:paraId="687CAD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建设内容：本项目建设性质为新建。</w:t>
      </w:r>
      <w:r>
        <w:rPr>
          <w:rFonts w:hint="eastAsia" w:eastAsia="仿宋_GB2312" w:cs="Times New Roman"/>
          <w:color w:val="auto"/>
          <w:sz w:val="32"/>
          <w:szCs w:val="32"/>
          <w:highlight w:val="none"/>
          <w:lang w:val="en-US" w:eastAsia="zh-CN"/>
        </w:rPr>
        <w:t>建设</w:t>
      </w:r>
      <w:r>
        <w:rPr>
          <w:rFonts w:hint="default" w:ascii="Times New Roman" w:hAnsi="Times New Roman" w:eastAsia="仿宋_GB2312" w:cs="Times New Roman"/>
          <w:color w:val="auto"/>
          <w:sz w:val="32"/>
          <w:szCs w:val="32"/>
          <w:highlight w:val="none"/>
          <w:lang w:val="en-US" w:eastAsia="zh-CN"/>
        </w:rPr>
        <w:t>1条破碎清洗生产线、2条改性造粒生产线、5条注塑托盘生产线、2条吹塑托盘生产线、3条FFS重膜袋生产线，配套建设公用工程、环保设施、仓储库房及办公辅助用房。</w:t>
      </w:r>
      <w:r>
        <w:rPr>
          <w:rFonts w:hint="eastAsia" w:eastAsia="仿宋_GB2312" w:cs="Times New Roman"/>
          <w:color w:val="auto"/>
          <w:sz w:val="32"/>
          <w:szCs w:val="32"/>
          <w:highlight w:val="none"/>
          <w:lang w:val="en-US" w:eastAsia="zh-CN"/>
        </w:rPr>
        <w:t>项目建成后，</w:t>
      </w:r>
      <w:r>
        <w:rPr>
          <w:rFonts w:hint="default" w:ascii="Times New Roman" w:hAnsi="Times New Roman" w:eastAsia="仿宋_GB2312" w:cs="Times New Roman"/>
          <w:color w:val="auto"/>
          <w:sz w:val="32"/>
          <w:szCs w:val="32"/>
          <w:highlight w:val="none"/>
          <w:lang w:val="en-US" w:eastAsia="zh-CN"/>
        </w:rPr>
        <w:t>年清洗破碎废旧塑料5000吨，再生塑料颗粒5000吨，注塑托盘13000吨（100万片），吹塑托盘2200吨（20万片），FFS重膜袋5000吨。</w:t>
      </w:r>
    </w:p>
    <w:p w14:paraId="64FABD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本项目总投资</w:t>
      </w:r>
      <w:r>
        <w:rPr>
          <w:rFonts w:hint="eastAsia" w:eastAsia="仿宋_GB2312" w:cs="Times New Roman"/>
          <w:color w:val="auto"/>
          <w:sz w:val="32"/>
          <w:szCs w:val="32"/>
          <w:lang w:val="en-US" w:eastAsia="zh-CN"/>
        </w:rPr>
        <w:t>6000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其中</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环保投资</w:t>
      </w:r>
      <w:r>
        <w:rPr>
          <w:rFonts w:hint="eastAsia" w:eastAsia="仿宋_GB2312" w:cs="Times New Roman"/>
          <w:color w:val="auto"/>
          <w:sz w:val="32"/>
          <w:szCs w:val="32"/>
          <w:highlight w:val="none"/>
          <w:lang w:val="en-US" w:eastAsia="zh-CN"/>
        </w:rPr>
        <w:t>245</w:t>
      </w:r>
      <w:r>
        <w:rPr>
          <w:rFonts w:hint="default" w:ascii="Times New Roman" w:hAnsi="Times New Roman" w:eastAsia="仿宋_GB2312" w:cs="Times New Roman"/>
          <w:color w:val="auto"/>
          <w:sz w:val="32"/>
          <w:szCs w:val="32"/>
          <w:highlight w:val="none"/>
          <w:lang w:val="en-US" w:eastAsia="zh-CN"/>
        </w:rPr>
        <w:t>万元，占总投资</w:t>
      </w:r>
      <w:r>
        <w:rPr>
          <w:rFonts w:hint="eastAsia" w:eastAsia="仿宋_GB2312" w:cs="Times New Roman"/>
          <w:color w:val="auto"/>
          <w:sz w:val="32"/>
          <w:szCs w:val="32"/>
          <w:highlight w:val="none"/>
          <w:lang w:val="en-US" w:eastAsia="zh-CN"/>
        </w:rPr>
        <w:t>4.08</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w:t>
      </w:r>
    </w:p>
    <w:p w14:paraId="0EBDF2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评价结论</w:t>
      </w:r>
    </w:p>
    <w:p w14:paraId="03BF5E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Style w:val="31"/>
          <w:rFonts w:hint="default" w:ascii="Times New Roman" w:hAnsi="Times New Roman" w:eastAsia="仿宋_GB2312" w:cs="Times New Roman"/>
          <w:b w:val="0"/>
          <w:i w:val="0"/>
          <w:caps w:val="0"/>
          <w:color w:val="000000"/>
          <w:spacing w:val="0"/>
          <w:w w:val="100"/>
          <w:kern w:val="2"/>
          <w:sz w:val="32"/>
          <w:szCs w:val="32"/>
          <w:lang w:val="en-US" w:eastAsia="zh-CN" w:bidi="ar-SA"/>
        </w:rPr>
      </w:pPr>
      <w:r>
        <w:rPr>
          <w:rStyle w:val="31"/>
          <w:rFonts w:hint="default" w:ascii="Times New Roman" w:hAnsi="Times New Roman" w:eastAsia="仿宋_GB2312" w:cs="Times New Roman"/>
          <w:b w:val="0"/>
          <w:i w:val="0"/>
          <w:caps w:val="0"/>
          <w:color w:val="000000"/>
          <w:spacing w:val="0"/>
          <w:w w:val="100"/>
          <w:kern w:val="2"/>
          <w:sz w:val="32"/>
          <w:szCs w:val="32"/>
          <w:lang w:val="en-US" w:eastAsia="zh-CN" w:bidi="ar-SA"/>
        </w:rPr>
        <w:t>在全面落实《报告表》中提出的各项防治生态破坏和环境污染措施的前提下，项目建设对环境的不利影响能够得到缓解和控制。我局原则同意《报告表》中所列建设项目的性质、规模、地点和拟采取的环境保护措施。</w:t>
      </w:r>
    </w:p>
    <w:p w14:paraId="0AB3B389">
      <w:pPr>
        <w:pStyle w:val="33"/>
        <w:keepNext w:val="0"/>
        <w:keepLines w:val="0"/>
        <w:pageBreakBefore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在项目设计、建设、运营和环境管理中要认真落实《报告</w:t>
      </w:r>
      <w:r>
        <w:rPr>
          <w:rFonts w:hint="default" w:eastAsia="仿宋_GB2312" w:cs="Times New Roman"/>
          <w:color w:val="auto"/>
          <w:sz w:val="32"/>
          <w:szCs w:val="32"/>
          <w:highlight w:val="none"/>
          <w:lang w:val="en-US" w:eastAsia="zh-CN"/>
        </w:rPr>
        <w:t>表</w:t>
      </w:r>
      <w:r>
        <w:rPr>
          <w:rFonts w:hint="default" w:ascii="Times New Roman" w:hAnsi="Times New Roman" w:eastAsia="仿宋_GB2312" w:cs="Times New Roman"/>
          <w:color w:val="auto"/>
          <w:sz w:val="32"/>
          <w:szCs w:val="32"/>
          <w:highlight w:val="none"/>
          <w:lang w:val="en-US" w:eastAsia="zh-CN"/>
        </w:rPr>
        <w:t>》提出的各项环保要求，严格执行环保</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三同时</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制度，确保污染物稳定达标排放，并达到以下要求：</w:t>
      </w:r>
    </w:p>
    <w:p w14:paraId="517E6D38">
      <w:pPr>
        <w:pStyle w:val="15"/>
        <w:keepNext w:val="0"/>
        <w:keepLines w:val="0"/>
        <w:pageBreakBefore w:val="0"/>
        <w:numPr>
          <w:ilvl w:val="0"/>
          <w:numId w:val="0"/>
        </w:numPr>
        <w:kinsoku/>
        <w:wordWrap/>
        <w:overflowPunct/>
        <w:topLinePunct w:val="0"/>
        <w:autoSpaceDE/>
        <w:autoSpaceDN/>
        <w:bidi w:val="0"/>
        <w:adjustRightInd/>
        <w:snapToGrid/>
        <w:spacing w:after="0" w:afterLines="0"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w:t>
      </w:r>
      <w:r>
        <w:rPr>
          <w:rFonts w:hint="default" w:eastAsia="仿宋_GB2312" w:cs="Times New Roman"/>
          <w:color w:val="auto"/>
          <w:sz w:val="32"/>
          <w:szCs w:val="32"/>
          <w:highlight w:val="none"/>
          <w:lang w:val="en-US" w:eastAsia="zh-CN"/>
        </w:rPr>
        <w:t>落</w:t>
      </w:r>
      <w:r>
        <w:rPr>
          <w:rFonts w:hint="default" w:ascii="Times New Roman" w:hAnsi="Times New Roman" w:eastAsia="仿宋_GB2312" w:cs="Times New Roman"/>
          <w:color w:val="auto"/>
          <w:sz w:val="32"/>
          <w:szCs w:val="32"/>
          <w:highlight w:val="none"/>
          <w:lang w:val="en-US" w:eastAsia="zh-CN"/>
        </w:rPr>
        <w:t>实废气污染防治措施。本项目破碎工序</w:t>
      </w:r>
      <w:bookmarkStart w:id="0" w:name="OLE_LINK59"/>
      <w:r>
        <w:rPr>
          <w:rFonts w:hint="eastAsia" w:eastAsia="仿宋_GB2312" w:cs="Times New Roman"/>
          <w:color w:val="auto"/>
          <w:sz w:val="32"/>
          <w:szCs w:val="32"/>
          <w:highlight w:val="none"/>
          <w:lang w:val="en-US" w:eastAsia="zh-CN"/>
        </w:rPr>
        <w:t>废气</w:t>
      </w:r>
      <w:r>
        <w:rPr>
          <w:rFonts w:hint="default" w:ascii="Times New Roman" w:hAnsi="Times New Roman" w:eastAsia="仿宋_GB2312" w:cs="Times New Roman"/>
          <w:color w:val="auto"/>
          <w:sz w:val="32"/>
          <w:szCs w:val="32"/>
          <w:highlight w:val="none"/>
          <w:lang w:val="en-US" w:eastAsia="zh-CN"/>
        </w:rPr>
        <w:t>采用微负压收集后经布袋除尘器处理，经1根18米高排气筒（DA001）排放；挤出造粒工序、注塑挤出成型工序、吹塑挤出成型工序、FFS重膜袋挤出工序、FFS重膜袋印刷工序</w:t>
      </w:r>
      <w:r>
        <w:rPr>
          <w:rFonts w:hint="eastAsia" w:eastAsia="仿宋_GB2312" w:cs="Times New Roman"/>
          <w:color w:val="auto"/>
          <w:sz w:val="32"/>
          <w:szCs w:val="32"/>
          <w:highlight w:val="none"/>
          <w:lang w:val="en-US" w:eastAsia="zh-CN"/>
        </w:rPr>
        <w:t>废气</w:t>
      </w:r>
      <w:r>
        <w:rPr>
          <w:rFonts w:hint="default" w:ascii="Times New Roman" w:hAnsi="Times New Roman" w:eastAsia="仿宋_GB2312" w:cs="Times New Roman"/>
          <w:color w:val="auto"/>
          <w:sz w:val="32"/>
          <w:szCs w:val="32"/>
          <w:highlight w:val="none"/>
          <w:lang w:val="en-US" w:eastAsia="zh-CN"/>
        </w:rPr>
        <w:t>经集气罩收集后经干式过滤+活性炭吸附</w:t>
      </w:r>
      <w:r>
        <w:rPr>
          <w:rFonts w:hint="eastAsia" w:eastAsia="仿宋_GB2312" w:cs="Times New Roman"/>
          <w:color w:val="auto"/>
          <w:sz w:val="32"/>
          <w:szCs w:val="32"/>
          <w:highlight w:val="none"/>
          <w:lang w:val="en-US" w:eastAsia="zh-CN"/>
        </w:rPr>
        <w:t>脱附</w:t>
      </w:r>
      <w:r>
        <w:rPr>
          <w:rFonts w:hint="default" w:ascii="Times New Roman" w:hAnsi="Times New Roman" w:eastAsia="仿宋_GB2312" w:cs="Times New Roman"/>
          <w:color w:val="auto"/>
          <w:sz w:val="32"/>
          <w:szCs w:val="32"/>
          <w:highlight w:val="none"/>
          <w:lang w:val="en-US" w:eastAsia="zh-CN"/>
        </w:rPr>
        <w:t>+蓄热式催化燃烧处理，经1根18米高排气筒（DA002）排放；食堂产生的油烟经油烟净化器处理后引至房顶排放。颗粒物、非甲烷总烃排放浓度满足</w:t>
      </w:r>
      <w:bookmarkEnd w:id="0"/>
      <w:r>
        <w:rPr>
          <w:rFonts w:hint="default" w:ascii="Times New Roman" w:hAnsi="Times New Roman" w:eastAsia="仿宋_GB2312" w:cs="Times New Roman"/>
          <w:color w:val="auto"/>
          <w:sz w:val="32"/>
          <w:szCs w:val="32"/>
          <w:highlight w:val="none"/>
          <w:lang w:val="en-US" w:eastAsia="zh-CN"/>
        </w:rPr>
        <w:t>《合成树脂工业污染物排放标准》（GB 31572-2015，含2024年修改单）表5中特别排放限值，臭气浓度排放执行《恶臭污染物排放标准》（GB 14554-93）表2恶臭污染物排放标准值，饮食业油烟排放浓度及处理效率满足《饮食业油烟排放标准（试行）》（GB 18483-2001）中表2小型饮食业单位相关限值。</w:t>
      </w:r>
    </w:p>
    <w:p w14:paraId="6C83CF22">
      <w:pPr>
        <w:pStyle w:val="15"/>
        <w:keepNext w:val="0"/>
        <w:keepLines w:val="0"/>
        <w:pageBreakBefore w:val="0"/>
        <w:numPr>
          <w:ilvl w:val="0"/>
          <w:numId w:val="0"/>
        </w:numPr>
        <w:kinsoku/>
        <w:wordWrap/>
        <w:overflowPunct/>
        <w:topLinePunct w:val="0"/>
        <w:autoSpaceDE/>
        <w:autoSpaceDN/>
        <w:bidi w:val="0"/>
        <w:adjustRightInd/>
        <w:snapToGrid/>
        <w:spacing w:after="0" w:afterLines="0" w:line="560" w:lineRule="exact"/>
        <w:ind w:firstLine="640" w:firstLineChars="200"/>
        <w:rPr>
          <w:rFonts w:hint="default"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本项目厂界无组织排放颗粒物、非甲烷总烃满足《合成树脂工业污染物排放标准》（GB 31572-2015，含2024年修改单）表9企业边界大气污染物浓度限值，厂界无组织排放臭气浓度满足《恶臭污染物排放标准》（GB 14554-93）中表1恶臭污染物厂界标准值二级新改扩建限值。厂区内非甲烷总烃排放浓度满足《挥发性有机物无组织排放控制标准》（GB37822-2019）表A.1特别排放限值。</w:t>
      </w:r>
    </w:p>
    <w:p w14:paraId="59DD9E31">
      <w:pPr>
        <w:pStyle w:val="15"/>
        <w:keepNext w:val="0"/>
        <w:keepLines w:val="0"/>
        <w:pageBreakBefore w:val="0"/>
        <w:numPr>
          <w:ilvl w:val="0"/>
          <w:numId w:val="0"/>
        </w:numPr>
        <w:kinsoku/>
        <w:wordWrap/>
        <w:overflowPunct/>
        <w:topLinePunct w:val="0"/>
        <w:autoSpaceDE/>
        <w:autoSpaceDN/>
        <w:bidi w:val="0"/>
        <w:adjustRightInd/>
        <w:snapToGrid/>
        <w:spacing w:after="0" w:afterLines="0"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落实废水污染防治措施。本项目运营期造粒冷却水循环使用，少量浓水排入园区下水管网至污水处理厂处理；注塑托盘、吹塑托盘生产过程中的冷却水经冷却后直接回用，不外排；废旧塑料清洗废水经沉淀絮凝处理后全部循环利用，不外排</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生活污水经化粪池处理</w:t>
      </w:r>
      <w:r>
        <w:rPr>
          <w:rFonts w:hint="eastAsia" w:eastAsia="仿宋_GB2312" w:cs="Times New Roman"/>
          <w:color w:val="auto"/>
          <w:sz w:val="32"/>
          <w:szCs w:val="32"/>
          <w:highlight w:val="none"/>
          <w:lang w:val="en-US" w:eastAsia="zh-CN"/>
        </w:rPr>
        <w:t>后</w:t>
      </w:r>
      <w:r>
        <w:rPr>
          <w:rFonts w:hint="default" w:ascii="Times New Roman" w:hAnsi="Times New Roman" w:eastAsia="仿宋_GB2312" w:cs="Times New Roman"/>
          <w:color w:val="auto"/>
          <w:sz w:val="32"/>
          <w:szCs w:val="32"/>
          <w:highlight w:val="none"/>
          <w:lang w:val="en-US" w:eastAsia="zh-CN"/>
        </w:rPr>
        <w:t>排入园区下水管网至污水处理厂处理</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满足《污水综合排放标准》（GB 8978-1996）表4中三级标准。</w:t>
      </w:r>
    </w:p>
    <w:p w14:paraId="463A67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pacing w:val="0"/>
          <w:sz w:val="32"/>
          <w:szCs w:val="32"/>
          <w:highlight w:val="none"/>
          <w:u w:val="none" w:color="auto"/>
          <w:lang w:val="en-US" w:eastAsia="zh-CN"/>
        </w:rPr>
        <w:t>落实噪声污染防治措施</w:t>
      </w:r>
      <w:r>
        <w:rPr>
          <w:rFonts w:hint="eastAsia" w:eastAsia="仿宋_GB2312"/>
          <w:spacing w:val="-10"/>
          <w:sz w:val="32"/>
          <w:szCs w:val="32"/>
          <w:u w:val="none" w:color="000000"/>
        </w:rPr>
        <w:t>。</w:t>
      </w:r>
      <w:r>
        <w:rPr>
          <w:rFonts w:hint="default" w:ascii="Times New Roman" w:hAnsi="Times New Roman" w:eastAsia="仿宋_GB2312" w:cs="Times New Roman"/>
          <w:color w:val="auto"/>
          <w:spacing w:val="0"/>
          <w:sz w:val="32"/>
          <w:szCs w:val="32"/>
          <w:highlight w:val="none"/>
          <w:u w:val="none" w:color="auto"/>
          <w:lang w:val="en-US" w:eastAsia="zh-CN"/>
        </w:rPr>
        <w:t>本项目运营期噪声源主要为破碎机、切粒机等设备产生的机械噪声等。采取减震、隔声等措施。满足《工业企业厂界环境噪声排放标准》（GB12348-2008）中的</w:t>
      </w:r>
      <w:r>
        <w:rPr>
          <w:rFonts w:hint="eastAsia" w:eastAsia="仿宋_GB2312" w:cs="Times New Roman"/>
          <w:color w:val="auto"/>
          <w:spacing w:val="0"/>
          <w:sz w:val="32"/>
          <w:szCs w:val="32"/>
          <w:highlight w:val="none"/>
          <w:u w:val="none" w:color="auto"/>
          <w:lang w:val="en-US" w:eastAsia="zh-CN"/>
        </w:rPr>
        <w:t>3</w:t>
      </w:r>
      <w:r>
        <w:rPr>
          <w:rFonts w:hint="default" w:ascii="Times New Roman" w:hAnsi="Times New Roman" w:eastAsia="仿宋_GB2312" w:cs="Times New Roman"/>
          <w:color w:val="auto"/>
          <w:spacing w:val="0"/>
          <w:sz w:val="32"/>
          <w:szCs w:val="32"/>
          <w:highlight w:val="none"/>
          <w:u w:val="none" w:color="auto"/>
          <w:lang w:val="en-US" w:eastAsia="zh-CN"/>
        </w:rPr>
        <w:t>类标准要求。</w:t>
      </w:r>
    </w:p>
    <w:p w14:paraId="75BC843F">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（四）落实固废污染防治措施。本项目</w:t>
      </w:r>
      <w:r>
        <w:rPr>
          <w:rFonts w:hint="eastAsia" w:ascii="Times New Roman" w:hAnsi="Times New Roman" w:eastAsia="仿宋_GB2312" w:cs="Times New Roman"/>
          <w:color w:val="auto"/>
          <w:spacing w:val="0"/>
          <w:sz w:val="32"/>
          <w:szCs w:val="32"/>
          <w:highlight w:val="none"/>
          <w:u w:val="none" w:color="auto"/>
          <w:lang w:val="en-US" w:eastAsia="zh-CN"/>
        </w:rPr>
        <w:t>清洗废渣及泥沙、布袋除尘器收集尘拉运至有资质的一般工业固体废物处置场填埋处置；次品及边角料回用至生产线；废滤网、废旧塑料杂质、废包装袋收集后外售综合利用；废布袋由厂家更换回收</w:t>
      </w:r>
      <w:r>
        <w:rPr>
          <w:rFonts w:hint="default" w:ascii="Times New Roman" w:hAnsi="Times New Roman" w:eastAsia="仿宋_GB2312" w:cs="Times New Roman"/>
          <w:color w:val="auto"/>
          <w:sz w:val="32"/>
          <w:szCs w:val="32"/>
          <w:highlight w:val="none"/>
          <w:u w:val="none"/>
          <w:lang w:val="en-US" w:eastAsia="zh-CN"/>
        </w:rPr>
        <w:t>。生活垃圾委托环卫部门统一清运处置。</w:t>
      </w:r>
    </w:p>
    <w:p w14:paraId="1215B95B">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废机油、废机油桶</w:t>
      </w:r>
      <w:r>
        <w:rPr>
          <w:rFonts w:hint="eastAsia"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废催化剂、废活性炭、废水性油墨桶暂存</w:t>
      </w:r>
      <w:r>
        <w:rPr>
          <w:rFonts w:hint="eastAsia" w:eastAsia="仿宋_GB2312" w:cs="Times New Roman"/>
          <w:color w:val="auto"/>
          <w:sz w:val="32"/>
          <w:szCs w:val="32"/>
          <w:highlight w:val="none"/>
          <w:u w:val="none"/>
          <w:lang w:val="en-US" w:eastAsia="zh-CN"/>
        </w:rPr>
        <w:t>于危废暂存间</w:t>
      </w:r>
      <w:r>
        <w:rPr>
          <w:rFonts w:hint="default" w:ascii="Times New Roman" w:hAnsi="Times New Roman" w:eastAsia="仿宋_GB2312" w:cs="Times New Roman"/>
          <w:color w:val="auto"/>
          <w:sz w:val="32"/>
          <w:szCs w:val="32"/>
          <w:highlight w:val="none"/>
          <w:u w:val="none"/>
          <w:lang w:val="en-US" w:eastAsia="zh-CN"/>
        </w:rPr>
        <w:t>，定期交由有资质的单位处置。危废贮存库要求按照《危险废物贮存污染控制标准》（GB18597-2023）建设</w:t>
      </w:r>
      <w:r>
        <w:rPr>
          <w:rFonts w:hint="eastAsia" w:eastAsia="仿宋_GB2312" w:cs="Times New Roman"/>
          <w:color w:val="auto"/>
          <w:sz w:val="32"/>
          <w:szCs w:val="32"/>
          <w:highlight w:val="none"/>
          <w:u w:val="none"/>
          <w:lang w:val="en-US" w:eastAsia="zh-CN"/>
        </w:rPr>
        <w:t>。</w:t>
      </w:r>
    </w:p>
    <w:p w14:paraId="542083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加强项目环境风险防范。建立严格的环境风险管理制度，认真落实报告表提出的各项风险防范措施；编制《突发环境事件应急预案》报生态环境主管部门备案，确保不发生环境污染事故；定期开展突发环境事件应急演练，及时对环境应急预案进行完善。</w:t>
      </w:r>
    </w:p>
    <w:p w14:paraId="74D18F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本项目主要污染物排放总量指标为VOCs：</w:t>
      </w:r>
      <w:bookmarkStart w:id="1" w:name="OLE_LINK74"/>
      <w:r>
        <w:rPr>
          <w:rFonts w:hint="default" w:ascii="Times New Roman" w:hAnsi="Times New Roman" w:eastAsia="仿宋_GB2312" w:cs="Times New Roman"/>
          <w:color w:val="auto"/>
          <w:sz w:val="32"/>
          <w:szCs w:val="32"/>
          <w:lang w:val="en-US" w:eastAsia="zh-CN"/>
        </w:rPr>
        <w:t>7.5138吨/年</w:t>
      </w:r>
      <w:bookmarkEnd w:id="1"/>
      <w:r>
        <w:rPr>
          <w:rFonts w:hint="default" w:ascii="Times New Roman" w:hAnsi="Times New Roman" w:eastAsia="仿宋_GB2312" w:cs="Times New Roman"/>
          <w:color w:val="auto"/>
          <w:sz w:val="32"/>
          <w:szCs w:val="32"/>
          <w:lang w:val="en-US" w:eastAsia="zh-CN"/>
        </w:rPr>
        <w:t>。</w:t>
      </w:r>
    </w:p>
    <w:p w14:paraId="28B78F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四、项目建设应严格执行配套建设的环境保护设施与主体工程同时设计、同时施工、同时投产使用的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38EFFD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五、十二师生态环境保护综合行政执法支队和项目所属辖区环境管理部门负责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监督检查和日常监管工作。你单位应在收到本批复20个工作日内，将批准后的环境影响报告表及批复分送以上监督管理机构，并按规定接受监督检查。</w:t>
      </w:r>
    </w:p>
    <w:p w14:paraId="2EC11EB8">
      <w:pPr>
        <w:keepNext w:val="0"/>
        <w:keepLines w:val="0"/>
        <w:pageBreakBefore w:val="0"/>
        <w:kinsoku/>
        <w:wordWrap/>
        <w:overflowPunct/>
        <w:topLinePunct w:val="0"/>
        <w:autoSpaceDE/>
        <w:autoSpaceDN/>
        <w:bidi w:val="0"/>
        <w:adjustRightInd/>
        <w:snapToGrid/>
        <w:spacing w:line="560" w:lineRule="exact"/>
        <w:rPr>
          <w:rFonts w:hint="default"/>
          <w:lang w:val="en-US" w:eastAsia="zh-CN"/>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AB9EDB3C-C6CA-472A-A99A-608C2C24FA91}"/>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2D513FE8-F451-426E-9465-300199E7AD9A}"/>
  </w:font>
  <w:font w:name="WPSEMBED11">
    <w:panose1 w:val="02010609030101010101"/>
    <w:charset w:val="86"/>
    <w:family w:val="auto"/>
    <w:pitch w:val="default"/>
    <w:sig w:usb0="00000001" w:usb1="080E0000" w:usb2="00000000" w:usb3="00000000" w:csb0="00040000" w:csb1="00000000"/>
  </w:font>
  <w:font w:name="WPSEMBED1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3E2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57C9A">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C57C9A">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43479"/>
    <w:multiLevelType w:val="multilevel"/>
    <w:tmpl w:val="98243479"/>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pStyle w:val="4"/>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4B6B1761"/>
    <w:multiLevelType w:val="singleLevel"/>
    <w:tmpl w:val="4B6B1761"/>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Y2U3ODBlY2MzNDk5YmZlMmU4ZDNlYTA3MjRjNjYifQ=="/>
    <w:docVar w:name="KSO_WPS_MARK_KEY" w:val="78d1c1cb-527e-4026-8f9a-c7cbb82ce8a0"/>
  </w:docVars>
  <w:rsids>
    <w:rsidRoot w:val="209C6FB6"/>
    <w:rsid w:val="000B7C11"/>
    <w:rsid w:val="003B507B"/>
    <w:rsid w:val="01954E03"/>
    <w:rsid w:val="02A5264F"/>
    <w:rsid w:val="0303427A"/>
    <w:rsid w:val="03343D40"/>
    <w:rsid w:val="036B03E5"/>
    <w:rsid w:val="03B818B8"/>
    <w:rsid w:val="0418546F"/>
    <w:rsid w:val="0431202E"/>
    <w:rsid w:val="04343F9F"/>
    <w:rsid w:val="049F51EA"/>
    <w:rsid w:val="04B54A0D"/>
    <w:rsid w:val="04B930B4"/>
    <w:rsid w:val="053613BF"/>
    <w:rsid w:val="073B0880"/>
    <w:rsid w:val="07592C22"/>
    <w:rsid w:val="076E74DB"/>
    <w:rsid w:val="07DD39B1"/>
    <w:rsid w:val="09A65D5E"/>
    <w:rsid w:val="0A010824"/>
    <w:rsid w:val="0A300945"/>
    <w:rsid w:val="0BC57258"/>
    <w:rsid w:val="0BDF05C2"/>
    <w:rsid w:val="0C211C5A"/>
    <w:rsid w:val="0DA67DA3"/>
    <w:rsid w:val="0DC736EF"/>
    <w:rsid w:val="0DE620DB"/>
    <w:rsid w:val="0E3A5F83"/>
    <w:rsid w:val="0E9B4DA8"/>
    <w:rsid w:val="0EA801FA"/>
    <w:rsid w:val="0F355C67"/>
    <w:rsid w:val="10705587"/>
    <w:rsid w:val="10A4745D"/>
    <w:rsid w:val="110E093A"/>
    <w:rsid w:val="1130362F"/>
    <w:rsid w:val="12404419"/>
    <w:rsid w:val="12C64D9E"/>
    <w:rsid w:val="132F6CC0"/>
    <w:rsid w:val="1483206F"/>
    <w:rsid w:val="14FD529D"/>
    <w:rsid w:val="152E726E"/>
    <w:rsid w:val="15447BCF"/>
    <w:rsid w:val="15B71C1A"/>
    <w:rsid w:val="16362036"/>
    <w:rsid w:val="17712A16"/>
    <w:rsid w:val="17FD79ED"/>
    <w:rsid w:val="184A2555"/>
    <w:rsid w:val="185B5474"/>
    <w:rsid w:val="1A1B029D"/>
    <w:rsid w:val="1B616AD1"/>
    <w:rsid w:val="1BA54230"/>
    <w:rsid w:val="1BDC1A17"/>
    <w:rsid w:val="1C461DE1"/>
    <w:rsid w:val="1CAE56BC"/>
    <w:rsid w:val="1CE957F4"/>
    <w:rsid w:val="1D37451A"/>
    <w:rsid w:val="1E3D7AF5"/>
    <w:rsid w:val="1EDF0A99"/>
    <w:rsid w:val="1F6B0692"/>
    <w:rsid w:val="1F811721"/>
    <w:rsid w:val="1F8F686F"/>
    <w:rsid w:val="1FC030C2"/>
    <w:rsid w:val="20186416"/>
    <w:rsid w:val="20232162"/>
    <w:rsid w:val="20920B1E"/>
    <w:rsid w:val="209C6FB6"/>
    <w:rsid w:val="21A71CFD"/>
    <w:rsid w:val="21EE2624"/>
    <w:rsid w:val="22FC519D"/>
    <w:rsid w:val="23D77FA4"/>
    <w:rsid w:val="24197569"/>
    <w:rsid w:val="241C517E"/>
    <w:rsid w:val="24DF43F3"/>
    <w:rsid w:val="277C3179"/>
    <w:rsid w:val="27A72484"/>
    <w:rsid w:val="27B950AC"/>
    <w:rsid w:val="27D77E95"/>
    <w:rsid w:val="28B30D34"/>
    <w:rsid w:val="2A043D84"/>
    <w:rsid w:val="2A3D5940"/>
    <w:rsid w:val="2A9A61BF"/>
    <w:rsid w:val="2BB20A80"/>
    <w:rsid w:val="2C526A72"/>
    <w:rsid w:val="2C6F3531"/>
    <w:rsid w:val="2D473EFE"/>
    <w:rsid w:val="2E1413FF"/>
    <w:rsid w:val="2E2928EF"/>
    <w:rsid w:val="31C250C8"/>
    <w:rsid w:val="323B7709"/>
    <w:rsid w:val="32CB48A0"/>
    <w:rsid w:val="33C66FC5"/>
    <w:rsid w:val="342D0001"/>
    <w:rsid w:val="35377AB9"/>
    <w:rsid w:val="353B1465"/>
    <w:rsid w:val="35796375"/>
    <w:rsid w:val="36356EAC"/>
    <w:rsid w:val="37130FE3"/>
    <w:rsid w:val="37360960"/>
    <w:rsid w:val="378857B3"/>
    <w:rsid w:val="378C012D"/>
    <w:rsid w:val="37982D8A"/>
    <w:rsid w:val="37ED6CAA"/>
    <w:rsid w:val="38421659"/>
    <w:rsid w:val="394207DB"/>
    <w:rsid w:val="3A157721"/>
    <w:rsid w:val="3A1B478A"/>
    <w:rsid w:val="3A7A6DCD"/>
    <w:rsid w:val="3B56320E"/>
    <w:rsid w:val="3B702097"/>
    <w:rsid w:val="3C457435"/>
    <w:rsid w:val="3CD13EDB"/>
    <w:rsid w:val="3E407CE8"/>
    <w:rsid w:val="3EFC3218"/>
    <w:rsid w:val="408D1F7C"/>
    <w:rsid w:val="409F2D25"/>
    <w:rsid w:val="41481ED3"/>
    <w:rsid w:val="42141B9B"/>
    <w:rsid w:val="426A7BCE"/>
    <w:rsid w:val="43611640"/>
    <w:rsid w:val="440C3582"/>
    <w:rsid w:val="448434D9"/>
    <w:rsid w:val="457C4008"/>
    <w:rsid w:val="46821C9A"/>
    <w:rsid w:val="46C40A3A"/>
    <w:rsid w:val="4735463A"/>
    <w:rsid w:val="47A05AAA"/>
    <w:rsid w:val="483671E0"/>
    <w:rsid w:val="494C3228"/>
    <w:rsid w:val="496F3E8B"/>
    <w:rsid w:val="4AEF475E"/>
    <w:rsid w:val="4B3B3D3D"/>
    <w:rsid w:val="4C1D505D"/>
    <w:rsid w:val="4C935F3D"/>
    <w:rsid w:val="4CB30DFF"/>
    <w:rsid w:val="4CBA6AEC"/>
    <w:rsid w:val="4CCC0113"/>
    <w:rsid w:val="4E497B5F"/>
    <w:rsid w:val="4EE6170D"/>
    <w:rsid w:val="51A62C6F"/>
    <w:rsid w:val="51E8156B"/>
    <w:rsid w:val="522C7607"/>
    <w:rsid w:val="550B1D3D"/>
    <w:rsid w:val="559F61B5"/>
    <w:rsid w:val="56466840"/>
    <w:rsid w:val="56982E14"/>
    <w:rsid w:val="573617D2"/>
    <w:rsid w:val="578034B6"/>
    <w:rsid w:val="57FD08D3"/>
    <w:rsid w:val="58635A95"/>
    <w:rsid w:val="58AC6A92"/>
    <w:rsid w:val="5902641E"/>
    <w:rsid w:val="5A0C7A0D"/>
    <w:rsid w:val="5B107A78"/>
    <w:rsid w:val="5B5201FC"/>
    <w:rsid w:val="5BF20882"/>
    <w:rsid w:val="5C9556DA"/>
    <w:rsid w:val="5CB5471F"/>
    <w:rsid w:val="5CE96177"/>
    <w:rsid w:val="5D4B0BE0"/>
    <w:rsid w:val="5D975035"/>
    <w:rsid w:val="5E8667BF"/>
    <w:rsid w:val="5F0A7158"/>
    <w:rsid w:val="5FA01104"/>
    <w:rsid w:val="616B35FF"/>
    <w:rsid w:val="61ED1CAB"/>
    <w:rsid w:val="632C5E80"/>
    <w:rsid w:val="633839B4"/>
    <w:rsid w:val="637F05E7"/>
    <w:rsid w:val="63E1404C"/>
    <w:rsid w:val="6436423C"/>
    <w:rsid w:val="646B3552"/>
    <w:rsid w:val="652303E3"/>
    <w:rsid w:val="678A222B"/>
    <w:rsid w:val="67D113D6"/>
    <w:rsid w:val="67E956CD"/>
    <w:rsid w:val="68A87B77"/>
    <w:rsid w:val="68D922DD"/>
    <w:rsid w:val="69E6594B"/>
    <w:rsid w:val="69ED55BD"/>
    <w:rsid w:val="6A9A30D8"/>
    <w:rsid w:val="6AB26975"/>
    <w:rsid w:val="6AE544EF"/>
    <w:rsid w:val="6B923E7E"/>
    <w:rsid w:val="6C9C3206"/>
    <w:rsid w:val="6CF32868"/>
    <w:rsid w:val="6D1A3FF7"/>
    <w:rsid w:val="6DD8026E"/>
    <w:rsid w:val="6F72024E"/>
    <w:rsid w:val="6FFE1AE2"/>
    <w:rsid w:val="723E2669"/>
    <w:rsid w:val="738C16D6"/>
    <w:rsid w:val="73BC2374"/>
    <w:rsid w:val="740718AD"/>
    <w:rsid w:val="743374C1"/>
    <w:rsid w:val="74E42CE2"/>
    <w:rsid w:val="75114B05"/>
    <w:rsid w:val="755C6E6D"/>
    <w:rsid w:val="76123086"/>
    <w:rsid w:val="7666465D"/>
    <w:rsid w:val="76F8372F"/>
    <w:rsid w:val="77B016F4"/>
    <w:rsid w:val="77CC387B"/>
    <w:rsid w:val="77EA1CD8"/>
    <w:rsid w:val="789048CC"/>
    <w:rsid w:val="797B56E2"/>
    <w:rsid w:val="79A4094F"/>
    <w:rsid w:val="7AAB3520"/>
    <w:rsid w:val="7C555D07"/>
    <w:rsid w:val="7C7F037E"/>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3"/>
    <w:basedOn w:val="1"/>
    <w:next w:val="1"/>
    <w:qFormat/>
    <w:uiPriority w:val="0"/>
    <w:pPr>
      <w:keepNext/>
      <w:keepLines/>
      <w:spacing w:line="360" w:lineRule="auto"/>
      <w:outlineLvl w:val="2"/>
    </w:pPr>
    <w:rPr>
      <w:b/>
      <w:bCs/>
      <w:sz w:val="24"/>
      <w:szCs w:val="32"/>
    </w:rPr>
  </w:style>
  <w:style w:type="paragraph" w:styleId="4">
    <w:name w:val="heading 5"/>
    <w:basedOn w:val="1"/>
    <w:next w:val="1"/>
    <w:unhideWhenUsed/>
    <w:qFormat/>
    <w:uiPriority w:val="9"/>
    <w:pPr>
      <w:keepNext/>
      <w:keepLines/>
      <w:numPr>
        <w:ilvl w:val="4"/>
        <w:numId w:val="1"/>
      </w:numPr>
      <w:spacing w:before="50" w:beforeLines="50"/>
      <w:outlineLvl w:val="4"/>
    </w:p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Char"/>
    <w:qFormat/>
    <w:uiPriority w:val="0"/>
    <w:pPr>
      <w:widowControl w:val="0"/>
      <w:overflowPunct w:val="0"/>
      <w:snapToGrid w:val="0"/>
      <w:spacing w:line="360" w:lineRule="auto"/>
      <w:ind w:firstLine="480" w:firstLineChars="200"/>
    </w:pPr>
    <w:rPr>
      <w:rFonts w:ascii="仿宋_GB2312" w:hAnsi="宋体" w:eastAsia="仿宋_GB2312" w:cs="Times New Roman"/>
      <w:snapToGrid w:val="0"/>
      <w:sz w:val="24"/>
      <w:szCs w:val="24"/>
      <w:lang w:val="en-US" w:eastAsia="zh-CN" w:bidi="ar-SA"/>
    </w:r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Body Text"/>
    <w:basedOn w:val="1"/>
    <w:next w:val="1"/>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8">
    <w:name w:val="Body Text Indent"/>
    <w:basedOn w:val="1"/>
    <w:next w:val="1"/>
    <w:qFormat/>
    <w:uiPriority w:val="0"/>
    <w:pPr>
      <w:spacing w:after="120" w:afterLines="0" w:afterAutospacing="0"/>
      <w:ind w:left="420" w:leftChars="200"/>
    </w:pPr>
  </w:style>
  <w:style w:type="paragraph" w:styleId="9">
    <w:name w:val="List Bullet 5"/>
    <w:basedOn w:val="1"/>
    <w:qFormat/>
    <w:uiPriority w:val="0"/>
    <w:pPr>
      <w:numPr>
        <w:ilvl w:val="0"/>
        <w:numId w:val="2"/>
      </w:numPr>
    </w:pPr>
  </w:style>
  <w:style w:type="paragraph" w:styleId="10">
    <w:name w:val="Body Text Indent 2"/>
    <w:basedOn w:val="1"/>
    <w:qFormat/>
    <w:uiPriority w:val="0"/>
    <w:pPr>
      <w:snapToGrid w:val="0"/>
      <w:spacing w:line="420" w:lineRule="exact"/>
      <w:ind w:firstLine="480"/>
    </w:pPr>
    <w:rPr>
      <w:sz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able of figures"/>
    <w:basedOn w:val="1"/>
    <w:next w:val="1"/>
    <w:qFormat/>
    <w:uiPriority w:val="0"/>
    <w:pPr>
      <w:autoSpaceDE w:val="0"/>
      <w:autoSpaceDN w:val="0"/>
      <w:spacing w:line="240" w:lineRule="auto"/>
      <w:ind w:firstLine="0" w:firstLineChars="0"/>
      <w:jc w:val="center"/>
    </w:pPr>
    <w:rPr>
      <w:b/>
      <w:bCs/>
      <w:iCs/>
    </w:rPr>
  </w:style>
  <w:style w:type="paragraph" w:styleId="14">
    <w:name w:val="Body Text First Indent"/>
    <w:basedOn w:val="7"/>
    <w:qFormat/>
    <w:uiPriority w:val="0"/>
  </w:style>
  <w:style w:type="paragraph" w:styleId="15">
    <w:name w:val="Body Text First Indent 2"/>
    <w:basedOn w:val="8"/>
    <w:next w:val="14"/>
    <w:qFormat/>
    <w:uiPriority w:val="0"/>
    <w:pPr>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样式 首行缩进:  2 字符1"/>
    <w:basedOn w:val="1"/>
    <w:qFormat/>
    <w:uiPriority w:val="0"/>
    <w:pPr>
      <w:spacing w:before="120" w:line="400" w:lineRule="exact"/>
      <w:ind w:firstLine="200" w:firstLineChars="200"/>
    </w:pPr>
    <w:rPr>
      <w:sz w:val="24"/>
      <w:szCs w:val="20"/>
    </w:rPr>
  </w:style>
  <w:style w:type="paragraph" w:customStyle="1" w:styleId="20">
    <w:name w:val="Default"/>
    <w:basedOn w:val="21"/>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21">
    <w:name w:val="纯文本1"/>
    <w:basedOn w:val="22"/>
    <w:qFormat/>
    <w:uiPriority w:val="0"/>
    <w:pPr>
      <w:tabs>
        <w:tab w:val="left" w:pos="1845"/>
      </w:tabs>
      <w:spacing w:line="240" w:lineRule="exact"/>
      <w:jc w:val="center"/>
    </w:pPr>
    <w:rPr>
      <w:sz w:val="18"/>
    </w:rPr>
  </w:style>
  <w:style w:type="paragraph" w:customStyle="1" w:styleId="22">
    <w:name w:val="正文_0"/>
    <w:next w:val="21"/>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23">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4">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25">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6">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7">
    <w:name w:val="样式5"/>
    <w:basedOn w:val="5"/>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8">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9">
    <w:name w:val="Normal Indent1"/>
    <w:basedOn w:val="1"/>
    <w:qFormat/>
    <w:uiPriority w:val="0"/>
    <w:pPr>
      <w:ind w:firstLine="420" w:firstLineChars="200"/>
    </w:pPr>
  </w:style>
  <w:style w:type="paragraph" w:customStyle="1" w:styleId="30">
    <w:name w:val="BodyText"/>
    <w:basedOn w:val="1"/>
    <w:qFormat/>
    <w:uiPriority w:val="0"/>
    <w:pPr>
      <w:spacing w:after="120"/>
      <w:jc w:val="both"/>
      <w:textAlignment w:val="baseline"/>
    </w:pPr>
  </w:style>
  <w:style w:type="character" w:customStyle="1" w:styleId="31">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32">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33">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34">
    <w:name w:val="报告1"/>
    <w:basedOn w:val="1"/>
    <w:qFormat/>
    <w:uiPriority w:val="0"/>
    <w:pPr>
      <w:adjustRightInd w:val="0"/>
      <w:spacing w:line="360" w:lineRule="auto"/>
      <w:ind w:firstLine="505"/>
      <w:jc w:val="left"/>
      <w:textAlignment w:val="baseline"/>
    </w:pPr>
    <w:rPr>
      <w:kern w:val="0"/>
      <w:sz w:val="24"/>
    </w:rPr>
  </w:style>
  <w:style w:type="paragraph" w:customStyle="1" w:styleId="35">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 w:type="paragraph" w:customStyle="1" w:styleId="3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2134</Words>
  <Characters>2309</Characters>
  <Lines>0</Lines>
  <Paragraphs>0</Paragraphs>
  <TotalTime>5</TotalTime>
  <ScaleCrop>false</ScaleCrop>
  <LinksUpToDate>false</LinksUpToDate>
  <CharactersWithSpaces>2399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2025-11-27T03:17:00Z</cp:lastPrinted>
  <dcterms:modified xsi:type="dcterms:W3CDTF">2026-07-31T04:57:02Z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006DFD8BA99A4A37BAEE405167B2ED6A_13</vt:lpwstr>
  </property>
  <property fmtid="{D5CDD505-2E9C-101B-9397-08002B2CF9AE}" pid="4" name="KSOTemplateDocerSaveRecord">
    <vt:lpwstr>eyJoZGlkIjoiOTA3YWNiNGY5NTYwYmI5ZWExYmVjZmZhYzE1YmNiMmUiLCJ1c2VySWQiOiI0NDQ3ODQwNzcifQ==</vt:lpwstr>
  </property>
</Properties>
</file>