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87F7A">
      <w:pPr>
        <w:pStyle w:val="2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3321548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b w:val="0"/>
          <w:bCs w:val="0"/>
          <w:color w:val="auto"/>
          <w:spacing w:val="-20"/>
          <w:sz w:val="44"/>
          <w:szCs w:val="44"/>
          <w:lang w:val="en-US" w:eastAsia="zh-CN"/>
        </w:rPr>
      </w:pPr>
      <w:r>
        <w:rPr>
          <w:rFonts w:hint="eastAsia" w:ascii="Times New Roman" w:hAnsi="Times New Roman" w:eastAsia="方正小标宋简体" w:cs="Times New Roman"/>
          <w:sz w:val="44"/>
          <w:szCs w:val="44"/>
          <w:lang w:val="en-US" w:eastAsia="zh-CN"/>
        </w:rPr>
        <w:t>关于废旧资源综合利用建设项目</w:t>
      </w:r>
      <w:r>
        <w:rPr>
          <w:rFonts w:hint="default" w:ascii="Times New Roman" w:hAnsi="Times New Roman" w:eastAsia="方正小标宋简体" w:cs="Times New Roman"/>
          <w:b w:val="0"/>
          <w:bCs w:val="0"/>
          <w:color w:val="auto"/>
          <w:spacing w:val="-20"/>
          <w:sz w:val="44"/>
          <w:szCs w:val="44"/>
          <w:lang w:val="en-US" w:eastAsia="zh-CN"/>
        </w:rPr>
        <w:t>环境影响</w:t>
      </w:r>
    </w:p>
    <w:p w14:paraId="0075261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default" w:ascii="Times New Roman" w:hAnsi="Times New Roman" w:eastAsia="方正小标宋简体" w:cs="Times New Roman"/>
          <w:b w:val="0"/>
          <w:bCs w:val="0"/>
          <w:color w:val="auto"/>
          <w:spacing w:val="-20"/>
          <w:sz w:val="44"/>
          <w:szCs w:val="44"/>
          <w:lang w:val="en-US" w:eastAsia="zh-CN"/>
        </w:rPr>
        <w:t>报告表</w:t>
      </w:r>
      <w:r>
        <w:rPr>
          <w:rFonts w:hint="eastAsia" w:ascii="方正小标宋简体" w:hAnsi="方正小标宋简体" w:eastAsia="方正小标宋简体" w:cs="方正小标宋简体"/>
          <w:sz w:val="44"/>
          <w:szCs w:val="44"/>
          <w:lang w:val="en-US" w:eastAsia="zh-CN"/>
        </w:rPr>
        <w:t>的批复</w:t>
      </w:r>
    </w:p>
    <w:p w14:paraId="67C52F69">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default" w:ascii="Times New Roman" w:hAnsi="Times New Roman" w:eastAsia="仿宋_GB2312" w:cs="Times New Roman"/>
          <w:sz w:val="32"/>
          <w:szCs w:val="32"/>
        </w:rPr>
      </w:pPr>
    </w:p>
    <w:p w14:paraId="61DE081C">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新疆浩澜再生资源回收利用有限公司：</w:t>
      </w:r>
    </w:p>
    <w:p w14:paraId="5663E4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你单位报送的由乌鲁木齐市蓝白丽景环评咨询服务有限公司编制的《废旧资源综合利用建设项目环境影响报告表》（以下简称《报告表》）收悉。根据《中华人民共和国行政许可法》第三十八条第一款、《中华人民共和国环境影响评价法》第二十二条第三款，经审查，现批复如下</w:t>
      </w:r>
      <w:r>
        <w:rPr>
          <w:rFonts w:hint="eastAsia" w:ascii="Times New Roman" w:hAnsi="Times New Roman" w:eastAsia="仿宋_GB2312" w:cs="Times New Roman"/>
          <w:color w:val="auto"/>
          <w:sz w:val="32"/>
          <w:szCs w:val="32"/>
          <w:lang w:val="en-US" w:eastAsia="zh-CN"/>
        </w:rPr>
        <w:t>：</w:t>
      </w:r>
    </w:p>
    <w:p w14:paraId="154C2F99">
      <w:pPr>
        <w:pStyle w:val="32"/>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560" w:lineRule="exact"/>
        <w:ind w:firstLine="64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本项目位于新疆昌吉州（第十二师）阜康市222团北亭镇准东工业园区光达路113号，厂区中心地理坐标东经87°50′33.198″，北纬44°17′29.604″。项目区北侧为新疆鑫大盛元金属制造有限公司，东侧、南侧、西侧均为空地。</w:t>
      </w:r>
    </w:p>
    <w:p w14:paraId="76C9BA20">
      <w:pPr>
        <w:pStyle w:val="32"/>
        <w:pBdr>
          <w:top w:val="none" w:color="auto" w:sz="0" w:space="0"/>
          <w:left w:val="none" w:color="auto" w:sz="0" w:space="0"/>
          <w:bottom w:val="none" w:color="auto" w:sz="0" w:space="0"/>
          <w:right w:val="none" w:color="auto" w:sz="0" w:space="0"/>
        </w:pBdr>
        <w:spacing w:line="56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建设内容：本项目建设性质为新建，</w:t>
      </w:r>
      <w:r>
        <w:rPr>
          <w:rFonts w:hint="eastAsia" w:eastAsia="仿宋_GB2312" w:cs="Times New Roman"/>
          <w:color w:val="auto"/>
          <w:sz w:val="32"/>
          <w:szCs w:val="32"/>
          <w:highlight w:val="none"/>
          <w:lang w:val="en-US" w:eastAsia="zh-CN"/>
        </w:rPr>
        <w:t>年</w:t>
      </w:r>
      <w:r>
        <w:rPr>
          <w:rFonts w:hint="default" w:ascii="Times New Roman" w:hAnsi="Times New Roman" w:eastAsia="仿宋_GB2312" w:cs="Times New Roman"/>
          <w:color w:val="auto"/>
          <w:sz w:val="32"/>
          <w:szCs w:val="32"/>
          <w:highlight w:val="none"/>
          <w:lang w:val="en-US" w:eastAsia="zh-CN"/>
        </w:rPr>
        <w:t>拆解汽车20000辆</w:t>
      </w:r>
      <w:r>
        <w:rPr>
          <w:rFonts w:hint="eastAsia" w:eastAsia="仿宋_GB2312" w:cs="Times New Roman"/>
          <w:color w:val="auto"/>
          <w:sz w:val="32"/>
          <w:szCs w:val="32"/>
          <w:highlight w:val="none"/>
          <w:lang w:val="en-US" w:eastAsia="zh-CN"/>
        </w:rPr>
        <w:t>，年</w:t>
      </w:r>
      <w:r>
        <w:rPr>
          <w:rFonts w:hint="default" w:ascii="Times New Roman" w:hAnsi="Times New Roman" w:eastAsia="仿宋_GB2312" w:cs="Times New Roman"/>
          <w:color w:val="auto"/>
          <w:sz w:val="32"/>
          <w:szCs w:val="32"/>
          <w:highlight w:val="none"/>
          <w:lang w:val="en-US" w:eastAsia="zh-CN"/>
        </w:rPr>
        <w:t>拆解废旧家电</w:t>
      </w:r>
      <w:r>
        <w:rPr>
          <w:rFonts w:hint="eastAsia" w:eastAsia="仿宋_GB2312" w:cs="Times New Roman"/>
          <w:color w:val="auto"/>
          <w:sz w:val="32"/>
          <w:szCs w:val="32"/>
          <w:highlight w:val="none"/>
          <w:lang w:val="en-US" w:eastAsia="zh-CN"/>
        </w:rPr>
        <w:t>60万</w:t>
      </w:r>
      <w:r>
        <w:rPr>
          <w:rFonts w:hint="default" w:ascii="Times New Roman" w:hAnsi="Times New Roman" w:eastAsia="仿宋_GB2312" w:cs="Times New Roman"/>
          <w:color w:val="auto"/>
          <w:sz w:val="32"/>
          <w:szCs w:val="32"/>
          <w:highlight w:val="none"/>
          <w:lang w:val="en-US" w:eastAsia="zh-CN"/>
        </w:rPr>
        <w:t>台</w:t>
      </w:r>
      <w:r>
        <w:rPr>
          <w:rFonts w:hint="eastAsia" w:eastAsia="仿宋_GB2312" w:cs="Times New Roman"/>
          <w:color w:val="auto"/>
          <w:sz w:val="32"/>
          <w:szCs w:val="32"/>
          <w:highlight w:val="none"/>
          <w:lang w:val="en-US" w:eastAsia="zh-CN"/>
        </w:rPr>
        <w:t>，年贮存</w:t>
      </w:r>
      <w:r>
        <w:rPr>
          <w:rFonts w:hint="default" w:ascii="Times New Roman" w:hAnsi="Times New Roman" w:eastAsia="仿宋_GB2312" w:cs="Times New Roman"/>
          <w:color w:val="auto"/>
          <w:sz w:val="32"/>
          <w:szCs w:val="32"/>
          <w:highlight w:val="none"/>
          <w:lang w:val="en-US" w:eastAsia="zh-CN"/>
        </w:rPr>
        <w:t>废铅酸蓄电池30吨</w:t>
      </w:r>
      <w:r>
        <w:rPr>
          <w:rFonts w:hint="eastAsia" w:eastAsia="仿宋_GB2312" w:cs="Times New Roman"/>
          <w:color w:val="auto"/>
          <w:sz w:val="32"/>
          <w:szCs w:val="32"/>
          <w:highlight w:val="none"/>
          <w:lang w:val="en-US" w:eastAsia="zh-CN"/>
        </w:rPr>
        <w:t>。本项目采用电采暖。</w:t>
      </w:r>
    </w:p>
    <w:p w14:paraId="64FABD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本项目总投资</w:t>
      </w:r>
      <w:r>
        <w:rPr>
          <w:rFonts w:hint="default" w:ascii="Times New Roman" w:hAnsi="Times New Roman" w:eastAsia="仿宋_GB2312" w:cs="Times New Roman"/>
          <w:bCs/>
          <w:color w:val="auto"/>
          <w:kern w:val="2"/>
          <w:sz w:val="32"/>
          <w:szCs w:val="32"/>
          <w:u w:color="000000"/>
          <w:lang w:val="zh-TW" w:eastAsia="zh-CN" w:bidi="ar-SA"/>
        </w:rPr>
        <w:t>10000</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其中</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环保投资</w:t>
      </w:r>
      <w:r>
        <w:rPr>
          <w:rFonts w:hint="eastAsia" w:cs="Times New Roman"/>
          <w:bCs/>
          <w:color w:val="auto"/>
          <w:kern w:val="2"/>
          <w:sz w:val="32"/>
          <w:szCs w:val="32"/>
          <w:u w:color="000000"/>
          <w:lang w:val="en-US" w:eastAsia="zh-CN" w:bidi="ar-SA"/>
        </w:rPr>
        <w:t>1022</w:t>
      </w:r>
      <w:r>
        <w:rPr>
          <w:rFonts w:hint="default" w:ascii="Times New Roman" w:hAnsi="Times New Roman" w:eastAsia="仿宋_GB2312" w:cs="Times New Roman"/>
          <w:color w:val="auto"/>
          <w:sz w:val="32"/>
          <w:szCs w:val="32"/>
          <w:highlight w:val="none"/>
          <w:lang w:val="en-US" w:eastAsia="zh-CN"/>
        </w:rPr>
        <w:t>万元，占总投资</w:t>
      </w:r>
      <w:r>
        <w:rPr>
          <w:rFonts w:hint="eastAsia" w:cs="Times New Roman"/>
          <w:bCs/>
          <w:color w:val="auto"/>
          <w:kern w:val="2"/>
          <w:sz w:val="32"/>
          <w:szCs w:val="32"/>
          <w:u w:color="000000"/>
          <w:lang w:val="en-US" w:eastAsia="zh-CN" w:bidi="ar-SA"/>
        </w:rPr>
        <w:t>10.22</w:t>
      </w:r>
      <w:r>
        <w:rPr>
          <w:rFonts w:hint="default" w:ascii="Times New Roman" w:hAnsi="Times New Roman" w:eastAsia="仿宋_GB2312" w:cs="Times New Roman"/>
          <w:color w:val="auto"/>
          <w:sz w:val="32"/>
          <w:szCs w:val="32"/>
          <w:highlight w:val="none"/>
          <w:lang w:val="en-US" w:eastAsia="zh-CN"/>
        </w:rPr>
        <w:t>%</w:t>
      </w:r>
      <w:r>
        <w:rPr>
          <w:rFonts w:hint="eastAsia" w:eastAsia="仿宋_GB2312" w:cs="Times New Roman"/>
          <w:color w:val="auto"/>
          <w:sz w:val="32"/>
          <w:szCs w:val="32"/>
          <w:highlight w:val="none"/>
          <w:lang w:val="en-US" w:eastAsia="zh-CN"/>
        </w:rPr>
        <w:t>）。</w:t>
      </w:r>
    </w:p>
    <w:p w14:paraId="0EBDF281">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10" w:leftChars="0" w:firstLine="640" w:firstLineChars="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评价结论</w:t>
      </w:r>
    </w:p>
    <w:p w14:paraId="03BF5E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Style w:val="30"/>
          <w:rFonts w:hint="default" w:ascii="Times New Roman" w:hAnsi="Times New Roman" w:eastAsia="仿宋_GB2312" w:cs="Times New Roman"/>
          <w:b w:val="0"/>
          <w:i w:val="0"/>
          <w:caps w:val="0"/>
          <w:color w:val="000000"/>
          <w:spacing w:val="0"/>
          <w:w w:val="100"/>
          <w:kern w:val="2"/>
          <w:sz w:val="32"/>
          <w:szCs w:val="32"/>
          <w:lang w:val="en-US" w:eastAsia="zh-CN" w:bidi="ar-SA"/>
        </w:rPr>
      </w:pPr>
      <w:r>
        <w:rPr>
          <w:rStyle w:val="30"/>
          <w:rFonts w:hint="default" w:ascii="Times New Roman" w:hAnsi="Times New Roman" w:eastAsia="仿宋_GB2312" w:cs="Times New Roman"/>
          <w:b w:val="0"/>
          <w:i w:val="0"/>
          <w:caps w:val="0"/>
          <w:color w:val="000000"/>
          <w:spacing w:val="0"/>
          <w:w w:val="100"/>
          <w:kern w:val="2"/>
          <w:sz w:val="32"/>
          <w:szCs w:val="32"/>
          <w:lang w:val="en-US" w:eastAsia="zh-CN" w:bidi="ar-SA"/>
        </w:rPr>
        <w:t>在全面落实《报告表》中提出的各项防治生态破坏和环境污染措施的前提下，项目建设对环境的不利影响能够得到缓解和控制。我局原则同意《报告表》中所列建设项目的性质、规模、地点和拟采取的环境保护措施。</w:t>
      </w:r>
    </w:p>
    <w:p w14:paraId="0AB3B389">
      <w:pPr>
        <w:pStyle w:val="32"/>
        <w:keepNext w:val="0"/>
        <w:keepLines w:val="0"/>
        <w:pageBreakBefore w:val="0"/>
        <w:numPr>
          <w:ilvl w:val="0"/>
          <w:numId w:val="3"/>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在项目设计、建设、运营和环境管理中要认真落实《报告</w:t>
      </w:r>
      <w:r>
        <w:rPr>
          <w:rFonts w:hint="default" w:eastAsia="仿宋_GB2312" w:cs="Times New Roman"/>
          <w:color w:val="auto"/>
          <w:sz w:val="32"/>
          <w:szCs w:val="32"/>
          <w:highlight w:val="none"/>
          <w:lang w:val="en-US" w:eastAsia="zh-CN"/>
        </w:rPr>
        <w:t>表</w:t>
      </w:r>
      <w:r>
        <w:rPr>
          <w:rFonts w:hint="default" w:ascii="Times New Roman" w:hAnsi="Times New Roman" w:eastAsia="仿宋_GB2312" w:cs="Times New Roman"/>
          <w:color w:val="auto"/>
          <w:sz w:val="32"/>
          <w:szCs w:val="32"/>
          <w:highlight w:val="none"/>
          <w:lang w:val="en-US" w:eastAsia="zh-CN"/>
        </w:rPr>
        <w:t>》提出的各项环保要求，严格执行环保</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三同时</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制度，确保污染物稳定达标排放，并达到以下要求：</w:t>
      </w:r>
    </w:p>
    <w:p w14:paraId="2D49646E">
      <w:pPr>
        <w:pStyle w:val="16"/>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w:t>
      </w:r>
      <w:r>
        <w:rPr>
          <w:rFonts w:hint="default" w:eastAsia="仿宋_GB2312" w:cs="Times New Roman"/>
          <w:color w:val="auto"/>
          <w:sz w:val="32"/>
          <w:szCs w:val="32"/>
          <w:highlight w:val="none"/>
          <w:lang w:val="en-US" w:eastAsia="zh-CN"/>
        </w:rPr>
        <w:t>落</w:t>
      </w:r>
      <w:r>
        <w:rPr>
          <w:rFonts w:hint="default" w:ascii="Times New Roman" w:hAnsi="Times New Roman" w:eastAsia="仿宋_GB2312" w:cs="Times New Roman"/>
          <w:color w:val="auto"/>
          <w:sz w:val="32"/>
          <w:szCs w:val="32"/>
          <w:highlight w:val="none"/>
          <w:lang w:val="en-US" w:eastAsia="zh-CN"/>
        </w:rPr>
        <w:t>实废气污染防治措施。汽车拆解预处理废气通过集气罩收集后</w:t>
      </w:r>
      <w:r>
        <w:rPr>
          <w:rFonts w:hint="eastAsia" w:eastAsia="仿宋_GB2312" w:cs="Times New Roman"/>
          <w:color w:val="auto"/>
          <w:sz w:val="32"/>
          <w:szCs w:val="32"/>
          <w:highlight w:val="none"/>
          <w:lang w:val="en-US" w:eastAsia="zh-CN"/>
        </w:rPr>
        <w:t>经</w:t>
      </w:r>
      <w:r>
        <w:rPr>
          <w:rFonts w:hint="default" w:ascii="Times New Roman" w:hAnsi="Times New Roman" w:eastAsia="仿宋_GB2312" w:cs="Times New Roman"/>
          <w:color w:val="auto"/>
          <w:sz w:val="32"/>
          <w:szCs w:val="32"/>
          <w:highlight w:val="none"/>
          <w:lang w:val="en-US" w:eastAsia="zh-CN"/>
        </w:rPr>
        <w:t>管道汇入1套</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活性炭吸附-脱附-催化燃烧</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处理设施处理，通过15米高排气筒（DA001）排放。汽车拆解工序产生的废气经各工序上方集气罩收集后，经布袋除尘器处理后，通过15米高排气筒（DA002）排放。电视、电脑拆解工序和CRT切割工序废气经各工序上方集气罩收集后，经布袋除尘器处理后，经15米高排气筒（DA003）排放。废液晶显示器拆解工序和废洗衣机拆解工序废气经各工序上方集气罩收集后，经布袋除尘器处理后，经15米高排气筒（DA004）排放。冰箱拆解工序与空调拆解工序废气经各工序上方集气罩收集后，经布袋除尘器处理后，经15米高排气筒（DA005）排放。家电破碎工序废气经各工序上方集气罩收集后，经布袋除尘器处理后，经15米高排气筒（DA006）排放。冰箱空调制冷剂、压缩机油回收废气经集气罩收集后，由活性炭吸附-脱附-催化燃烧装置处理后通过15米高的排气筒（DA007）排放。废油暂存过程中产生的贮存废气</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在2号危险废物贮存库废油专用储罐贮存间安装防爆排风扇，废气经吸风口收集送至二级活性炭吸附装置处理后由15米高排气筒（DA008）排放。非甲烷总烃、颗粒物满足《大气污染物综合排放标准》（GB16297-1996）表2的排放标准限值要求。臭气浓度满足《恶臭污染物排放标准》（GB14554-93）表2恶臭污染物排放标准值。食堂油烟经高效油烟净化器处理后，通过专用烟道排放，满足《饮食业油烟排放标准（试行）》（GB18483-2001）排放浓度限值要求。</w:t>
      </w:r>
    </w:p>
    <w:p w14:paraId="678C0A2A">
      <w:pPr>
        <w:pStyle w:val="16"/>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eastAsia="仿宋_GB2312" w:cs="Times New Roman"/>
          <w:color w:val="auto"/>
          <w:sz w:val="32"/>
          <w:szCs w:val="32"/>
          <w:highlight w:val="none"/>
          <w:lang w:val="en-US" w:eastAsia="zh-CN"/>
        </w:rPr>
        <w:t>厂界颗粒物、非甲烷总烃</w:t>
      </w:r>
      <w:r>
        <w:rPr>
          <w:rFonts w:hint="eastAsia" w:eastAsia="仿宋_GB2312" w:cs="Times New Roman"/>
          <w:color w:val="auto"/>
          <w:sz w:val="32"/>
          <w:szCs w:val="32"/>
          <w:highlight w:val="none"/>
          <w:lang w:val="en-US" w:eastAsia="zh-CN"/>
        </w:rPr>
        <w:t>、</w:t>
      </w:r>
      <w:r>
        <w:rPr>
          <w:rFonts w:hint="default" w:eastAsia="仿宋_GB2312" w:cs="Times New Roman"/>
          <w:color w:val="auto"/>
          <w:sz w:val="32"/>
          <w:szCs w:val="32"/>
          <w:highlight w:val="none"/>
          <w:lang w:val="en-US" w:eastAsia="zh-CN"/>
        </w:rPr>
        <w:t>硫酸雾排放浓度满足《大气污染物综合排放标准》（GB16297-1996）表2中无组织排放监控浓度限值周界外浓度最高点</w:t>
      </w:r>
      <w:r>
        <w:rPr>
          <w:rFonts w:hint="eastAsia" w:eastAsia="仿宋_GB2312" w:cs="Times New Roman"/>
          <w:color w:val="auto"/>
          <w:sz w:val="32"/>
          <w:szCs w:val="32"/>
          <w:highlight w:val="none"/>
          <w:lang w:val="en-US" w:eastAsia="zh-CN"/>
        </w:rPr>
        <w:t>。</w:t>
      </w:r>
      <w:r>
        <w:rPr>
          <w:rFonts w:hint="default" w:eastAsia="仿宋_GB2312" w:cs="Times New Roman"/>
          <w:color w:val="auto"/>
          <w:sz w:val="32"/>
          <w:szCs w:val="32"/>
          <w:highlight w:val="none"/>
          <w:lang w:val="en-US" w:eastAsia="zh-CN"/>
        </w:rPr>
        <w:t>氨、硫化氢、臭气浓度满足《恶臭污染物排放标准》（GB14554-93）表1恶臭污染物厂界标准值。厂区内非甲烷总烃满足</w:t>
      </w:r>
      <w:r>
        <w:rPr>
          <w:rFonts w:hint="default" w:ascii="Times New Roman" w:hAnsi="Times New Roman" w:eastAsia="仿宋_GB2312" w:cs="Times New Roman"/>
          <w:color w:val="auto"/>
          <w:sz w:val="32"/>
          <w:szCs w:val="32"/>
          <w:highlight w:val="none"/>
          <w:lang w:val="en-US" w:eastAsia="zh-CN"/>
        </w:rPr>
        <w:t>《挥发性有机物无组织排放控制标准》（GB37822-2019）表A.1厂区内VOCs无组织排放限值中特别排放限值要求。</w:t>
      </w:r>
    </w:p>
    <w:p w14:paraId="4CD44117">
      <w:pPr>
        <w:keepNext w:val="0"/>
        <w:keepLines w:val="0"/>
        <w:pageBreakBefore w:val="0"/>
        <w:kinsoku/>
        <w:wordWrap/>
        <w:overflowPunct/>
        <w:topLinePunct w:val="0"/>
        <w:autoSpaceDE/>
        <w:autoSpaceDN/>
        <w:bidi w:val="0"/>
        <w:snapToGrid/>
        <w:spacing w:line="560" w:lineRule="exact"/>
        <w:ind w:firstLine="641"/>
        <w:rPr>
          <w:rFonts w:hint="default" w:ascii="Times New Roman" w:hAnsi="Times New Roman" w:eastAsia="仿宋_GB2312" w:cs="Times New Roman"/>
          <w:color w:val="auto"/>
          <w:sz w:val="32"/>
          <w:szCs w:val="32"/>
          <w:highlight w:val="none"/>
          <w:lang w:val="en-US" w:eastAsia="zh-CN"/>
        </w:rPr>
      </w:pPr>
      <w:r>
        <w:rPr>
          <w:rFonts w:hint="default"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val="en-US" w:eastAsia="zh-CN"/>
        </w:rPr>
        <w:t>落实废水污染防治措施。本项目车间地面清洗用水与生活污水经污水处理站处理</w:t>
      </w:r>
      <w:r>
        <w:rPr>
          <w:rFonts w:hint="eastAsia" w:eastAsia="仿宋_GB2312" w:cs="Times New Roman"/>
          <w:color w:val="auto"/>
          <w:sz w:val="32"/>
          <w:szCs w:val="32"/>
          <w:highlight w:val="none"/>
          <w:lang w:val="en-US" w:eastAsia="zh-CN"/>
        </w:rPr>
        <w:t>后，</w:t>
      </w:r>
      <w:r>
        <w:rPr>
          <w:rFonts w:hint="default" w:ascii="Times New Roman" w:hAnsi="Times New Roman" w:eastAsia="仿宋_GB2312" w:cs="Times New Roman"/>
          <w:color w:val="auto"/>
          <w:sz w:val="32"/>
          <w:szCs w:val="32"/>
          <w:highlight w:val="none"/>
          <w:lang w:val="en-US" w:eastAsia="zh-CN"/>
        </w:rPr>
        <w:t>进入兵团准东产业园区污水处理厂处理。满足《污水综合排放标准》（GB8978-1996）</w:t>
      </w:r>
      <w:r>
        <w:rPr>
          <w:rFonts w:hint="eastAsia" w:eastAsia="仿宋_GB2312" w:cs="Times New Roman"/>
          <w:color w:val="auto"/>
          <w:sz w:val="32"/>
          <w:szCs w:val="32"/>
          <w:highlight w:val="none"/>
          <w:lang w:val="en-US" w:eastAsia="zh-CN"/>
        </w:rPr>
        <w:t>表4中</w:t>
      </w:r>
      <w:r>
        <w:rPr>
          <w:rFonts w:hint="default" w:ascii="Times New Roman" w:hAnsi="Times New Roman" w:eastAsia="仿宋_GB2312" w:cs="Times New Roman"/>
          <w:color w:val="auto"/>
          <w:sz w:val="32"/>
          <w:szCs w:val="32"/>
          <w:highlight w:val="none"/>
          <w:lang w:val="en-US" w:eastAsia="zh-CN"/>
        </w:rPr>
        <w:t>三级标准</w:t>
      </w:r>
      <w:r>
        <w:rPr>
          <w:rFonts w:hint="eastAsia" w:eastAsia="仿宋_GB2312" w:cs="Times New Roman"/>
          <w:color w:val="auto"/>
          <w:sz w:val="32"/>
          <w:szCs w:val="32"/>
          <w:highlight w:val="none"/>
          <w:lang w:val="en-US" w:eastAsia="zh-CN"/>
        </w:rPr>
        <w:t>。</w:t>
      </w:r>
    </w:p>
    <w:p w14:paraId="53623EE8">
      <w:pPr>
        <w:keepNext w:val="0"/>
        <w:keepLines w:val="0"/>
        <w:pageBreakBefore w:val="0"/>
        <w:kinsoku/>
        <w:wordWrap/>
        <w:overflowPunct/>
        <w:topLinePunct w:val="0"/>
        <w:autoSpaceDE/>
        <w:autoSpaceDN/>
        <w:bidi w:val="0"/>
        <w:snapToGrid/>
        <w:spacing w:line="560" w:lineRule="exact"/>
        <w:ind w:firstLine="641"/>
        <w:rPr>
          <w:rFonts w:hint="default" w:ascii="Times New Roman" w:hAnsi="Times New Roman" w:eastAsia="仿宋_GB2312" w:cs="Times New Roman"/>
          <w:bCs/>
          <w:color w:val="auto"/>
          <w:kern w:val="2"/>
          <w:sz w:val="32"/>
          <w:szCs w:val="32"/>
          <w:u w:color="000000"/>
          <w:lang w:val="en-US" w:eastAsia="zh-CN" w:bidi="ar-SA"/>
        </w:rPr>
      </w:pPr>
      <w:r>
        <w:rPr>
          <w:rFonts w:hint="default" w:ascii="Times New Roman" w:hAnsi="Times New Roman" w:eastAsia="仿宋_GB2312" w:cs="Times New Roman"/>
          <w:color w:val="auto"/>
          <w:sz w:val="32"/>
          <w:szCs w:val="32"/>
          <w:highlight w:val="none"/>
          <w:u w:val="none"/>
          <w:lang w:val="en-US" w:eastAsia="zh-CN"/>
        </w:rPr>
        <w:t>（三）</w:t>
      </w:r>
      <w:r>
        <w:rPr>
          <w:rFonts w:hint="default" w:ascii="Times New Roman" w:hAnsi="Times New Roman" w:eastAsia="仿宋_GB2312" w:cs="Times New Roman"/>
          <w:color w:val="auto"/>
          <w:spacing w:val="0"/>
          <w:sz w:val="32"/>
          <w:szCs w:val="32"/>
          <w:highlight w:val="none"/>
          <w:u w:val="none" w:color="auto"/>
          <w:lang w:val="en-US" w:eastAsia="zh-CN"/>
        </w:rPr>
        <w:t>落实噪声污染防治措施。本项目运营期噪声源主要为车间的废油抽排机、制冷剂回收机、安全气囊引爆装置、剪切机</w:t>
      </w:r>
      <w:r>
        <w:rPr>
          <w:rFonts w:hint="eastAsia" w:eastAsia="仿宋_GB2312" w:cs="Times New Roman"/>
          <w:color w:val="auto"/>
          <w:spacing w:val="0"/>
          <w:sz w:val="32"/>
          <w:szCs w:val="32"/>
          <w:highlight w:val="none"/>
          <w:u w:val="none" w:color="auto"/>
          <w:lang w:val="en-US" w:eastAsia="zh-CN"/>
        </w:rPr>
        <w:t>等</w:t>
      </w:r>
      <w:r>
        <w:rPr>
          <w:rFonts w:hint="default" w:ascii="Times New Roman" w:hAnsi="Times New Roman" w:eastAsia="仿宋_GB2312" w:cs="Times New Roman"/>
          <w:color w:val="auto"/>
          <w:spacing w:val="0"/>
          <w:sz w:val="32"/>
          <w:szCs w:val="32"/>
          <w:highlight w:val="none"/>
          <w:u w:val="none" w:color="auto"/>
          <w:lang w:val="en-US" w:eastAsia="zh-CN"/>
        </w:rPr>
        <w:t>。采取低噪声设备，基础减振、隔音，安全气囊引爆装置设置在密闭独立空间内，加强厂区绿化等措施</w:t>
      </w:r>
      <w:r>
        <w:rPr>
          <w:rFonts w:hint="eastAsia" w:eastAsia="仿宋_GB2312" w:cs="Times New Roman"/>
          <w:color w:val="auto"/>
          <w:spacing w:val="0"/>
          <w:sz w:val="32"/>
          <w:szCs w:val="32"/>
          <w:highlight w:val="none"/>
          <w:u w:val="none" w:color="auto"/>
          <w:lang w:val="en-US" w:eastAsia="zh-CN"/>
        </w:rPr>
        <w:t>。</w:t>
      </w:r>
      <w:r>
        <w:rPr>
          <w:rFonts w:hint="default" w:ascii="Times New Roman" w:hAnsi="Times New Roman" w:eastAsia="仿宋_GB2312" w:cs="Times New Roman"/>
          <w:bCs/>
          <w:color w:val="auto"/>
          <w:kern w:val="2"/>
          <w:sz w:val="32"/>
          <w:szCs w:val="32"/>
          <w:u w:color="000000"/>
          <w:lang w:val="en-US" w:eastAsia="zh-CN" w:bidi="ar-SA"/>
        </w:rPr>
        <w:t>满足《工业企业厂界环境噪声排放标准》（GB12348-2008）中</w:t>
      </w:r>
      <w:r>
        <w:rPr>
          <w:rFonts w:hint="eastAsia" w:eastAsia="仿宋_GB2312" w:cs="Times New Roman"/>
          <w:bCs/>
          <w:color w:val="auto"/>
          <w:kern w:val="2"/>
          <w:sz w:val="32"/>
          <w:szCs w:val="32"/>
          <w:u w:color="000000"/>
          <w:lang w:val="en-US" w:eastAsia="zh-CN" w:bidi="ar-SA"/>
        </w:rPr>
        <w:t>2</w:t>
      </w:r>
      <w:r>
        <w:rPr>
          <w:rFonts w:hint="default" w:ascii="Times New Roman" w:hAnsi="Times New Roman" w:eastAsia="仿宋_GB2312" w:cs="Times New Roman"/>
          <w:bCs/>
          <w:color w:val="auto"/>
          <w:kern w:val="2"/>
          <w:sz w:val="32"/>
          <w:szCs w:val="32"/>
          <w:u w:color="000000"/>
          <w:lang w:val="en-US" w:eastAsia="zh-CN" w:bidi="ar-SA"/>
        </w:rPr>
        <w:t>类标准要求。</w:t>
      </w:r>
    </w:p>
    <w:p w14:paraId="7F8F14F8">
      <w:pPr>
        <w:keepNext w:val="0"/>
        <w:keepLines w:val="0"/>
        <w:pageBreakBefore w:val="0"/>
        <w:kinsoku/>
        <w:wordWrap/>
        <w:overflowPunct/>
        <w:topLinePunct w:val="0"/>
        <w:autoSpaceDE/>
        <w:autoSpaceDN/>
        <w:bidi w:val="0"/>
        <w:snapToGrid/>
        <w:spacing w:line="560" w:lineRule="exact"/>
        <w:ind w:firstLine="641"/>
        <w:rPr>
          <w:rFonts w:hint="eastAsia"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lang w:val="en-US" w:eastAsia="zh-CN"/>
        </w:rPr>
        <w:t>（四）落实固废污染防治措施。</w:t>
      </w:r>
      <w:r>
        <w:rPr>
          <w:rFonts w:hint="default" w:ascii="Times New Roman" w:hAnsi="Times New Roman" w:eastAsia="仿宋_GB2312" w:cs="Times New Roman"/>
          <w:color w:val="auto"/>
          <w:sz w:val="32"/>
          <w:szCs w:val="32"/>
          <w:highlight w:val="none"/>
          <w:u w:val="none" w:color="auto"/>
          <w:lang w:val="en-US" w:eastAsia="zh-CN"/>
        </w:rPr>
        <w:t>本项目运营期一般工业固体废物废安全气囊、废钢铁、废有色金属、废玻璃、废橡胶、废塑料、废弃可用零部件、</w:t>
      </w:r>
      <w:r>
        <w:rPr>
          <w:rFonts w:hint="eastAsia" w:eastAsia="仿宋_GB2312" w:cs="Times New Roman"/>
          <w:color w:val="auto"/>
          <w:sz w:val="32"/>
          <w:szCs w:val="32"/>
          <w:highlight w:val="none"/>
          <w:u w:val="none" w:color="auto"/>
          <w:lang w:val="en-US" w:eastAsia="zh-CN"/>
        </w:rPr>
        <w:t>其他材料、</w:t>
      </w:r>
      <w:r>
        <w:rPr>
          <w:rFonts w:hint="default" w:ascii="Times New Roman" w:hAnsi="Times New Roman" w:eastAsia="仿宋_GB2312" w:cs="Times New Roman"/>
          <w:color w:val="auto"/>
          <w:sz w:val="32"/>
          <w:szCs w:val="32"/>
          <w:highlight w:val="none"/>
          <w:u w:val="none" w:color="auto"/>
          <w:lang w:val="en-US" w:eastAsia="zh-CN"/>
        </w:rPr>
        <w:t>废电缆、完整显示组件、废液化气罐</w:t>
      </w:r>
      <w:r>
        <w:rPr>
          <w:rFonts w:hint="eastAsia" w:eastAsia="仿宋_GB2312" w:cs="Times New Roman"/>
          <w:color w:val="auto"/>
          <w:sz w:val="32"/>
          <w:szCs w:val="32"/>
          <w:highlight w:val="none"/>
          <w:u w:val="none" w:color="auto"/>
          <w:lang w:val="en-US" w:eastAsia="zh-CN"/>
        </w:rPr>
        <w:t>、动力蓄电池、</w:t>
      </w:r>
      <w:r>
        <w:rPr>
          <w:rFonts w:hint="default" w:ascii="Times New Roman" w:hAnsi="Times New Roman" w:eastAsia="仿宋_GB2312" w:cs="Times New Roman"/>
          <w:color w:val="auto"/>
          <w:sz w:val="32"/>
          <w:szCs w:val="32"/>
          <w:highlight w:val="none"/>
          <w:u w:val="none" w:color="auto"/>
          <w:lang w:val="en-US" w:eastAsia="zh-CN"/>
        </w:rPr>
        <w:t>除尘灰、废布袋、保温材料、制冷剂</w:t>
      </w:r>
      <w:r>
        <w:rPr>
          <w:rFonts w:hint="eastAsia"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平衡盐水</w:t>
      </w:r>
      <w:r>
        <w:rPr>
          <w:rFonts w:hint="eastAsia" w:eastAsia="仿宋_GB2312" w:cs="Times New Roman"/>
          <w:color w:val="auto"/>
          <w:sz w:val="32"/>
          <w:szCs w:val="32"/>
          <w:highlight w:val="none"/>
          <w:u w:val="none" w:color="auto"/>
          <w:lang w:val="en-US" w:eastAsia="zh-CN"/>
        </w:rPr>
        <w:t>、废弃车用电子零部件、</w:t>
      </w:r>
      <w:r>
        <w:rPr>
          <w:rFonts w:hint="default" w:ascii="Times New Roman" w:hAnsi="Times New Roman" w:eastAsia="仿宋_GB2312" w:cs="Times New Roman"/>
          <w:color w:val="auto"/>
          <w:sz w:val="32"/>
          <w:szCs w:val="32"/>
          <w:highlight w:val="none"/>
          <w:u w:val="none" w:color="auto"/>
          <w:lang w:val="en-US" w:eastAsia="zh-CN"/>
        </w:rPr>
        <w:t>内饰材料</w:t>
      </w:r>
      <w:r>
        <w:rPr>
          <w:rFonts w:hint="eastAsia"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轻质材料</w:t>
      </w:r>
      <w:r>
        <w:rPr>
          <w:rFonts w:hint="eastAsia" w:eastAsia="仿宋_GB2312" w:cs="Times New Roman"/>
          <w:color w:val="auto"/>
          <w:sz w:val="32"/>
          <w:szCs w:val="32"/>
          <w:highlight w:val="none"/>
          <w:u w:val="none" w:color="auto"/>
          <w:lang w:val="en-US" w:eastAsia="zh-CN"/>
        </w:rPr>
        <w:t>等暂存于一般工业固体废物贮存间，</w:t>
      </w:r>
      <w:r>
        <w:rPr>
          <w:rFonts w:hint="default" w:ascii="Times New Roman" w:hAnsi="Times New Roman" w:eastAsia="仿宋_GB2312" w:cs="Times New Roman"/>
          <w:color w:val="auto"/>
          <w:sz w:val="32"/>
          <w:szCs w:val="32"/>
          <w:highlight w:val="none"/>
          <w:u w:val="none" w:color="auto"/>
          <w:lang w:val="en-US" w:eastAsia="zh-CN"/>
        </w:rPr>
        <w:t>交</w:t>
      </w:r>
      <w:r>
        <w:rPr>
          <w:rFonts w:hint="eastAsia" w:eastAsia="仿宋_GB2312" w:cs="Times New Roman"/>
          <w:color w:val="auto"/>
          <w:sz w:val="32"/>
          <w:szCs w:val="32"/>
          <w:highlight w:val="none"/>
          <w:u w:val="none" w:color="auto"/>
          <w:lang w:val="en-US" w:eastAsia="zh-CN"/>
        </w:rPr>
        <w:t>由有</w:t>
      </w:r>
      <w:r>
        <w:rPr>
          <w:rFonts w:hint="default" w:ascii="Times New Roman" w:hAnsi="Times New Roman" w:eastAsia="仿宋_GB2312" w:cs="Times New Roman"/>
          <w:color w:val="auto"/>
          <w:sz w:val="32"/>
          <w:szCs w:val="32"/>
          <w:highlight w:val="none"/>
          <w:u w:val="none" w:color="auto"/>
          <w:lang w:val="en-US" w:eastAsia="zh-CN"/>
        </w:rPr>
        <w:t>处理能力的单位回收利用</w:t>
      </w:r>
      <w:r>
        <w:rPr>
          <w:rFonts w:hint="eastAsia" w:ascii="Times New Roman" w:hAnsi="Times New Roman" w:eastAsia="仿宋_GB2312" w:cs="Times New Roman"/>
          <w:color w:val="auto"/>
          <w:sz w:val="32"/>
          <w:szCs w:val="32"/>
          <w:highlight w:val="none"/>
          <w:u w:val="none" w:color="auto"/>
          <w:lang w:val="en-US" w:eastAsia="zh-CN"/>
        </w:rPr>
        <w:t>。生活垃圾采用垃圾箱收集，由园区环卫部门统一清运处置。</w:t>
      </w:r>
    </w:p>
    <w:p w14:paraId="19574668">
      <w:pPr>
        <w:keepNext w:val="0"/>
        <w:keepLines w:val="0"/>
        <w:pageBreakBefore w:val="0"/>
        <w:kinsoku/>
        <w:wordWrap/>
        <w:overflowPunct/>
        <w:topLinePunct w:val="0"/>
        <w:autoSpaceDE/>
        <w:autoSpaceDN/>
        <w:bidi w:val="0"/>
        <w:snapToGrid/>
        <w:spacing w:line="560" w:lineRule="exact"/>
        <w:ind w:firstLine="641"/>
        <w:rPr>
          <w:rFonts w:hint="default" w:ascii="Times New Roman" w:hAnsi="Times New Roman" w:eastAsia="仿宋_GB2312" w:cs="Times New Roman"/>
          <w:bCs/>
          <w:color w:val="auto"/>
          <w:kern w:val="2"/>
          <w:sz w:val="32"/>
          <w:szCs w:val="32"/>
          <w:u w:color="000000"/>
          <w:lang w:val="en-US" w:eastAsia="zh-CN" w:bidi="ar-SA"/>
        </w:rPr>
      </w:pPr>
      <w:r>
        <w:rPr>
          <w:rFonts w:hint="default" w:ascii="Times New Roman" w:hAnsi="Times New Roman" w:eastAsia="仿宋_GB2312" w:cs="Times New Roman"/>
          <w:bCs/>
          <w:color w:val="auto"/>
          <w:kern w:val="2"/>
          <w:sz w:val="32"/>
          <w:szCs w:val="32"/>
          <w:u w:color="000000"/>
          <w:lang w:val="en-US" w:eastAsia="zh-CN" w:bidi="ar-SA"/>
        </w:rPr>
        <w:t>废铅酸蓄电池</w:t>
      </w:r>
      <w:r>
        <w:rPr>
          <w:rFonts w:hint="eastAsia" w:eastAsia="仿宋_GB2312" w:cs="Times New Roman"/>
          <w:bCs/>
          <w:color w:val="auto"/>
          <w:kern w:val="2"/>
          <w:sz w:val="32"/>
          <w:szCs w:val="32"/>
          <w:u w:color="000000"/>
          <w:lang w:val="en-US" w:eastAsia="zh-CN" w:bidi="ar-SA"/>
        </w:rPr>
        <w:t>暂存于</w:t>
      </w:r>
      <w:r>
        <w:rPr>
          <w:rFonts w:hint="default" w:ascii="Times New Roman" w:hAnsi="Times New Roman" w:eastAsia="仿宋_GB2312" w:cs="Times New Roman"/>
          <w:bCs/>
          <w:color w:val="auto"/>
          <w:kern w:val="2"/>
          <w:sz w:val="32"/>
          <w:szCs w:val="32"/>
          <w:u w:color="000000"/>
          <w:lang w:val="en-US" w:eastAsia="zh-CN" w:bidi="ar-SA"/>
        </w:rPr>
        <w:t>专用危险废物贮存库</w:t>
      </w:r>
      <w:r>
        <w:rPr>
          <w:rFonts w:hint="eastAsia" w:eastAsia="仿宋_GB2312" w:cs="Times New Roman"/>
          <w:bCs/>
          <w:color w:val="auto"/>
          <w:kern w:val="2"/>
          <w:sz w:val="32"/>
          <w:szCs w:val="32"/>
          <w:u w:color="000000"/>
          <w:lang w:val="en-US" w:eastAsia="zh-CN" w:bidi="ar-SA"/>
        </w:rPr>
        <w:t>。</w:t>
      </w:r>
      <w:r>
        <w:rPr>
          <w:rFonts w:hint="default" w:ascii="Times New Roman" w:hAnsi="Times New Roman" w:eastAsia="仿宋_GB2312" w:cs="Times New Roman"/>
          <w:bCs/>
          <w:color w:val="auto"/>
          <w:kern w:val="2"/>
          <w:sz w:val="32"/>
          <w:szCs w:val="32"/>
          <w:u w:color="000000"/>
          <w:lang w:val="en-US" w:eastAsia="zh-CN" w:bidi="ar-SA"/>
        </w:rPr>
        <w:t>废矿物油、废有机溶剂、废制冷剂</w:t>
      </w:r>
      <w:r>
        <w:rPr>
          <w:rFonts w:hint="eastAsia" w:eastAsia="仿宋_GB2312" w:cs="Times New Roman"/>
          <w:bCs/>
          <w:color w:val="auto"/>
          <w:kern w:val="2"/>
          <w:sz w:val="32"/>
          <w:szCs w:val="32"/>
          <w:u w:color="000000"/>
          <w:lang w:val="en-US" w:eastAsia="zh-CN" w:bidi="ar-SA"/>
        </w:rPr>
        <w:t>、</w:t>
      </w:r>
      <w:r>
        <w:rPr>
          <w:rFonts w:hint="default" w:ascii="Times New Roman" w:hAnsi="Times New Roman" w:eastAsia="仿宋_GB2312" w:cs="Times New Roman"/>
          <w:bCs/>
          <w:color w:val="auto"/>
          <w:kern w:val="2"/>
          <w:sz w:val="32"/>
          <w:szCs w:val="32"/>
          <w:u w:color="000000"/>
          <w:lang w:val="en-US" w:eastAsia="zh-CN" w:bidi="ar-SA"/>
        </w:rPr>
        <w:t>废电路板、废电容器、废尾气净化催化剂、废机油滤清器、废活性炭、废催化剂、隔油池废油泥、含汞部件、石棉废物及废抹布、劳保用品</w:t>
      </w:r>
      <w:r>
        <w:rPr>
          <w:rFonts w:hint="eastAsia" w:eastAsia="仿宋_GB2312" w:cs="Times New Roman"/>
          <w:bCs/>
          <w:color w:val="auto"/>
          <w:kern w:val="2"/>
          <w:sz w:val="32"/>
          <w:szCs w:val="32"/>
          <w:u w:color="000000"/>
          <w:lang w:val="en-US" w:eastAsia="zh-CN" w:bidi="ar-SA"/>
        </w:rPr>
        <w:t>等</w:t>
      </w:r>
      <w:r>
        <w:rPr>
          <w:rFonts w:hint="default" w:ascii="Times New Roman" w:hAnsi="Times New Roman" w:eastAsia="仿宋_GB2312" w:cs="Times New Roman"/>
          <w:bCs/>
          <w:color w:val="auto"/>
          <w:kern w:val="2"/>
          <w:sz w:val="32"/>
          <w:szCs w:val="32"/>
          <w:u w:color="000000"/>
          <w:lang w:val="en-US" w:eastAsia="zh-CN" w:bidi="ar-SA"/>
        </w:rPr>
        <w:t>分区暂存于危险废物</w:t>
      </w:r>
      <w:r>
        <w:rPr>
          <w:rFonts w:hint="eastAsia" w:eastAsia="仿宋_GB2312" w:cs="Times New Roman"/>
          <w:bCs/>
          <w:color w:val="auto"/>
          <w:kern w:val="2"/>
          <w:sz w:val="32"/>
          <w:szCs w:val="32"/>
          <w:u w:color="000000"/>
          <w:lang w:val="en-US" w:eastAsia="zh-CN" w:bidi="ar-SA"/>
        </w:rPr>
        <w:t>贮存</w:t>
      </w:r>
      <w:r>
        <w:rPr>
          <w:rFonts w:hint="default" w:ascii="Times New Roman" w:hAnsi="Times New Roman" w:eastAsia="仿宋_GB2312" w:cs="Times New Roman"/>
          <w:bCs/>
          <w:color w:val="auto"/>
          <w:kern w:val="2"/>
          <w:sz w:val="32"/>
          <w:szCs w:val="32"/>
          <w:u w:color="000000"/>
          <w:lang w:val="en-US" w:eastAsia="zh-CN" w:bidi="ar-SA"/>
        </w:rPr>
        <w:t>间，定期交由有资质单位处理。危险废物贮存</w:t>
      </w:r>
      <w:r>
        <w:rPr>
          <w:rFonts w:hint="eastAsia" w:eastAsia="仿宋_GB2312" w:cs="Times New Roman"/>
          <w:bCs/>
          <w:color w:val="auto"/>
          <w:kern w:val="2"/>
          <w:sz w:val="32"/>
          <w:szCs w:val="32"/>
          <w:u w:color="000000"/>
          <w:lang w:val="en-US" w:eastAsia="zh-CN" w:bidi="ar-SA"/>
        </w:rPr>
        <w:t>间</w:t>
      </w:r>
      <w:r>
        <w:rPr>
          <w:rFonts w:hint="default" w:ascii="Times New Roman" w:hAnsi="Times New Roman" w:eastAsia="仿宋_GB2312" w:cs="Times New Roman"/>
          <w:bCs/>
          <w:color w:val="auto"/>
          <w:kern w:val="2"/>
          <w:sz w:val="32"/>
          <w:szCs w:val="32"/>
          <w:u w:color="000000"/>
          <w:lang w:val="en-US" w:eastAsia="zh-CN" w:bidi="ar-SA"/>
        </w:rPr>
        <w:t>建设要求满足《危险废物贮存污染控制标准》（GB18597-2023）中相关要求。</w:t>
      </w:r>
    </w:p>
    <w:p w14:paraId="51E655F6">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b w:val="0"/>
          <w:bCs/>
          <w:color w:val="auto"/>
          <w:kern w:val="2"/>
          <w:sz w:val="32"/>
          <w:szCs w:val="32"/>
          <w:highlight w:val="none"/>
          <w:u w:val="none"/>
          <w:lang w:val="en-US" w:eastAsia="zh-CN" w:bidi="ar-SA"/>
        </w:rPr>
      </w:pPr>
      <w:r>
        <w:rPr>
          <w:rFonts w:hint="default" w:ascii="Times New Roman" w:hAnsi="Times New Roman" w:eastAsia="仿宋_GB2312" w:cs="Times New Roman"/>
          <w:b w:val="0"/>
          <w:bCs/>
          <w:color w:val="auto"/>
          <w:kern w:val="2"/>
          <w:sz w:val="32"/>
          <w:szCs w:val="32"/>
          <w:highlight w:val="none"/>
          <w:u w:val="none"/>
          <w:lang w:val="en-US" w:eastAsia="zh-CN" w:bidi="ar-SA"/>
        </w:rPr>
        <w:t>（五）加强项目环境风险防范。建立严格的环境风险管理制度，认真落实报告表提出的各项风险防范措施；编制《突发环境事件应急预案》报生态环境主管部门备案，确保不发生环境污染事故；定期开展突发环境事件应急演练，及时对环境应急预案进行完善。</w:t>
      </w:r>
    </w:p>
    <w:p w14:paraId="2822FF9C">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b w:val="0"/>
          <w:bCs/>
          <w:color w:val="auto"/>
          <w:kern w:val="2"/>
          <w:sz w:val="32"/>
          <w:szCs w:val="32"/>
          <w:highlight w:val="none"/>
          <w:u w:val="none"/>
          <w:lang w:val="en-US" w:eastAsia="zh-CN" w:bidi="ar-SA"/>
        </w:rPr>
      </w:pPr>
      <w:r>
        <w:rPr>
          <w:rFonts w:hint="default" w:ascii="Times New Roman" w:hAnsi="Times New Roman" w:eastAsia="仿宋_GB2312" w:cs="Times New Roman"/>
          <w:b w:val="0"/>
          <w:bCs/>
          <w:color w:val="auto"/>
          <w:kern w:val="2"/>
          <w:sz w:val="32"/>
          <w:szCs w:val="32"/>
          <w:highlight w:val="none"/>
          <w:u w:val="none"/>
          <w:lang w:val="en-US" w:eastAsia="zh-CN" w:bidi="ar-SA"/>
        </w:rPr>
        <w:t>本项目主要污染物排放总量指标为VOCs：</w:t>
      </w:r>
      <w:bookmarkStart w:id="0" w:name="OLE_LINK74"/>
      <w:r>
        <w:rPr>
          <w:rFonts w:hint="eastAsia" w:eastAsia="仿宋_GB2312" w:cs="Times New Roman"/>
          <w:b w:val="0"/>
          <w:bCs/>
          <w:color w:val="auto"/>
          <w:kern w:val="2"/>
          <w:sz w:val="32"/>
          <w:szCs w:val="32"/>
          <w:highlight w:val="none"/>
          <w:u w:val="none"/>
          <w:lang w:val="en-US" w:eastAsia="zh-CN" w:bidi="ar-SA"/>
        </w:rPr>
        <w:t>0.283</w:t>
      </w:r>
      <w:r>
        <w:rPr>
          <w:rFonts w:hint="default" w:ascii="Times New Roman" w:hAnsi="Times New Roman" w:eastAsia="仿宋_GB2312" w:cs="Times New Roman"/>
          <w:b w:val="0"/>
          <w:bCs/>
          <w:color w:val="auto"/>
          <w:kern w:val="2"/>
          <w:sz w:val="32"/>
          <w:szCs w:val="32"/>
          <w:highlight w:val="none"/>
          <w:u w:val="none"/>
          <w:lang w:val="en-US" w:eastAsia="zh-CN" w:bidi="ar-SA"/>
        </w:rPr>
        <w:t>吨/年</w:t>
      </w:r>
      <w:bookmarkEnd w:id="0"/>
      <w:r>
        <w:rPr>
          <w:rFonts w:hint="eastAsia" w:eastAsia="仿宋_GB2312" w:cs="Times New Roman"/>
          <w:b w:val="0"/>
          <w:bCs/>
          <w:color w:val="auto"/>
          <w:kern w:val="2"/>
          <w:sz w:val="32"/>
          <w:szCs w:val="32"/>
          <w:highlight w:val="none"/>
          <w:u w:val="none"/>
          <w:lang w:val="en-US" w:eastAsia="zh-CN" w:bidi="ar-SA"/>
        </w:rPr>
        <w:t>；颗粒物：0.801</w:t>
      </w:r>
      <w:r>
        <w:rPr>
          <w:rFonts w:hint="default" w:ascii="Times New Roman" w:hAnsi="Times New Roman" w:eastAsia="仿宋_GB2312" w:cs="Times New Roman"/>
          <w:b w:val="0"/>
          <w:bCs/>
          <w:color w:val="auto"/>
          <w:kern w:val="2"/>
          <w:sz w:val="32"/>
          <w:szCs w:val="32"/>
          <w:highlight w:val="none"/>
          <w:u w:val="none"/>
          <w:lang w:val="en-US" w:eastAsia="zh-CN" w:bidi="ar-SA"/>
        </w:rPr>
        <w:t>吨/年</w:t>
      </w:r>
      <w:r>
        <w:rPr>
          <w:rFonts w:hint="eastAsia" w:ascii="Times New Roman" w:hAnsi="Times New Roman" w:eastAsia="仿宋_GB2312" w:cs="Times New Roman"/>
          <w:b w:val="0"/>
          <w:bCs/>
          <w:color w:val="auto"/>
          <w:kern w:val="2"/>
          <w:sz w:val="32"/>
          <w:szCs w:val="32"/>
          <w:highlight w:val="none"/>
          <w:u w:val="none"/>
          <w:lang w:val="en-US" w:eastAsia="zh-CN" w:bidi="ar-SA"/>
        </w:rPr>
        <w:t>。</w:t>
      </w:r>
    </w:p>
    <w:p w14:paraId="5BA064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四、项目建设应严格执行配套建设的环境保护设施与主体工程同时设计、同时施工、同时投产使用的</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三同时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制度。环境影响报告表批准后，项目的性质、规模、地点或生态保护、污染防治措施发生重大变动的，应当按要求重新报批环境影响评价文件。自批准之日起超过5年方决定该项目开工建设的，其环评文件应当报我局重新审核。项目竣工后正式运营前，根据《排污许可管理条例》依法办理排污许可手续，并对配套建设的环境保护设施进行验收，经验收合格后，项目方可投入运行。</w:t>
      </w:r>
    </w:p>
    <w:p w14:paraId="769259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五、十二师生态环境保护综合行政执法支队和项目所属辖区环境管理部门负责</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三同时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监督检查和日常监管工作。你单位应在收到本批复20个工作日内，将批准后的环境影响报告表及批复分送以上监督管理机构，并按规定接受监督检查。</w:t>
      </w:r>
    </w:p>
    <w:p w14:paraId="13D58773">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color w:val="auto"/>
          <w:sz w:val="32"/>
          <w:szCs w:val="32"/>
          <w:lang w:val="en-US" w:eastAsia="zh-CN"/>
        </w:rPr>
      </w:pPr>
    </w:p>
    <w:p w14:paraId="2EC11EB8">
      <w:pPr>
        <w:pStyle w:val="20"/>
        <w:keepNext w:val="0"/>
        <w:keepLines w:val="0"/>
        <w:pageBreakBefore w:val="0"/>
        <w:kinsoku/>
        <w:wordWrap/>
        <w:overflowPunct/>
        <w:topLinePunct w:val="0"/>
        <w:autoSpaceDE/>
        <w:autoSpaceDN/>
        <w:bidi w:val="0"/>
        <w:snapToGrid/>
        <w:spacing w:line="560" w:lineRule="exact"/>
        <w:rPr>
          <w:rFonts w:hint="default"/>
          <w:lang w:val="en-US" w:eastAsia="zh-CN"/>
        </w:rPr>
      </w:pPr>
      <w:bookmarkStart w:id="1" w:name="_GoBack"/>
      <w:bookmarkEnd w:id="1"/>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1F2504A6-B8E2-402C-820B-90BF87926ACE}"/>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embedRegular r:id="rId2" w:fontKey="{BB72E51F-966E-4249-A497-D83C36D7BC88}"/>
  </w:font>
  <w:font w:name="WPSEMBED9">
    <w:panose1 w:val="02010609030101010101"/>
    <w:charset w:val="86"/>
    <w:family w:val="auto"/>
    <w:pitch w:val="default"/>
    <w:sig w:usb0="00000001" w:usb1="080E0000" w:usb2="00000000" w:usb3="00000000" w:csb0="00040000" w:csb1="00000000"/>
  </w:font>
  <w:font w:name="WPSEMBED10">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C3E2A">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57C9A">
                          <w:pPr>
                            <w:pStyle w:val="13"/>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C57C9A">
                    <w:pPr>
                      <w:pStyle w:val="13"/>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D84138"/>
    <w:multiLevelType w:val="singleLevel"/>
    <w:tmpl w:val="90D84138"/>
    <w:lvl w:ilvl="0" w:tentative="0">
      <w:start w:val="2"/>
      <w:numFmt w:val="chineseCounting"/>
      <w:suff w:val="nothing"/>
      <w:lvlText w:val="%1、"/>
      <w:lvlJc w:val="left"/>
      <w:pPr>
        <w:ind w:left="-10"/>
      </w:pPr>
      <w:rPr>
        <w:rFonts w:hint="eastAsia"/>
      </w:rPr>
    </w:lvl>
  </w:abstractNum>
  <w:abstractNum w:abstractNumId="1">
    <w:nsid w:val="98243479"/>
    <w:multiLevelType w:val="multilevel"/>
    <w:tmpl w:val="98243479"/>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4B6B1761"/>
    <w:multiLevelType w:val="singleLevel"/>
    <w:tmpl w:val="4B6B1761"/>
    <w:lvl w:ilvl="0" w:tentative="0">
      <w:start w:val="1"/>
      <w:numFmt w:val="bullet"/>
      <w:pStyle w:val="11"/>
      <w:lvlText w:val=""/>
      <w:lvlJc w:val="left"/>
      <w:pPr>
        <w:tabs>
          <w:tab w:val="left" w:pos="2040"/>
        </w:tabs>
        <w:ind w:left="204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Y2U3ODBlY2MzNDk5YmZlMmU4ZDNlYTA3MjRjNjYifQ=="/>
    <w:docVar w:name="KSO_WPS_MARK_KEY" w:val="78d1c1cb-527e-4026-8f9a-c7cbb82ce8a0"/>
  </w:docVars>
  <w:rsids>
    <w:rsidRoot w:val="209C6FB6"/>
    <w:rsid w:val="000B7C11"/>
    <w:rsid w:val="003B507B"/>
    <w:rsid w:val="01954E03"/>
    <w:rsid w:val="0303427A"/>
    <w:rsid w:val="03343D40"/>
    <w:rsid w:val="036B03E5"/>
    <w:rsid w:val="03B818B8"/>
    <w:rsid w:val="0418546F"/>
    <w:rsid w:val="0431202E"/>
    <w:rsid w:val="04343F9F"/>
    <w:rsid w:val="049F51EA"/>
    <w:rsid w:val="04B54A0D"/>
    <w:rsid w:val="04B930B4"/>
    <w:rsid w:val="053613BF"/>
    <w:rsid w:val="073B0880"/>
    <w:rsid w:val="07592C22"/>
    <w:rsid w:val="076E74DB"/>
    <w:rsid w:val="07DD39B1"/>
    <w:rsid w:val="09A65D5E"/>
    <w:rsid w:val="0A300945"/>
    <w:rsid w:val="0B053804"/>
    <w:rsid w:val="0BC57258"/>
    <w:rsid w:val="0BDF05C2"/>
    <w:rsid w:val="0C211C5A"/>
    <w:rsid w:val="0D060F25"/>
    <w:rsid w:val="0DA67DA3"/>
    <w:rsid w:val="0DC736EF"/>
    <w:rsid w:val="0DE620DB"/>
    <w:rsid w:val="0E3A5F83"/>
    <w:rsid w:val="0E6D70F2"/>
    <w:rsid w:val="0E9B4DA8"/>
    <w:rsid w:val="0EA801FA"/>
    <w:rsid w:val="10705587"/>
    <w:rsid w:val="10A4745D"/>
    <w:rsid w:val="1130362F"/>
    <w:rsid w:val="12404419"/>
    <w:rsid w:val="12C64D9E"/>
    <w:rsid w:val="132F6CC0"/>
    <w:rsid w:val="1483206F"/>
    <w:rsid w:val="14FD529D"/>
    <w:rsid w:val="152E726E"/>
    <w:rsid w:val="15447BCF"/>
    <w:rsid w:val="15B71C1A"/>
    <w:rsid w:val="17712A16"/>
    <w:rsid w:val="17FD79ED"/>
    <w:rsid w:val="184A2555"/>
    <w:rsid w:val="185B5474"/>
    <w:rsid w:val="1A1B029D"/>
    <w:rsid w:val="1B1252A5"/>
    <w:rsid w:val="1BA54230"/>
    <w:rsid w:val="1BDC1A17"/>
    <w:rsid w:val="1CAE56BC"/>
    <w:rsid w:val="1D37451A"/>
    <w:rsid w:val="1EDF0A99"/>
    <w:rsid w:val="1F6B0692"/>
    <w:rsid w:val="1F811721"/>
    <w:rsid w:val="1F8F686F"/>
    <w:rsid w:val="1FC030C2"/>
    <w:rsid w:val="20232162"/>
    <w:rsid w:val="20920B1E"/>
    <w:rsid w:val="209C6FB6"/>
    <w:rsid w:val="21A71CFD"/>
    <w:rsid w:val="21EE2624"/>
    <w:rsid w:val="22FC519D"/>
    <w:rsid w:val="23D77FA4"/>
    <w:rsid w:val="24197569"/>
    <w:rsid w:val="24DF43F3"/>
    <w:rsid w:val="277C3179"/>
    <w:rsid w:val="27A72484"/>
    <w:rsid w:val="27B950AC"/>
    <w:rsid w:val="28B30D34"/>
    <w:rsid w:val="2A043D84"/>
    <w:rsid w:val="2A3D5940"/>
    <w:rsid w:val="2BB20A80"/>
    <w:rsid w:val="2C526A72"/>
    <w:rsid w:val="2C6F3531"/>
    <w:rsid w:val="2D473EFE"/>
    <w:rsid w:val="2D9B0154"/>
    <w:rsid w:val="2E1413FF"/>
    <w:rsid w:val="31C250C8"/>
    <w:rsid w:val="32CB48A0"/>
    <w:rsid w:val="33C66FC5"/>
    <w:rsid w:val="342D0001"/>
    <w:rsid w:val="35377AB9"/>
    <w:rsid w:val="353B1465"/>
    <w:rsid w:val="35796375"/>
    <w:rsid w:val="36356EAC"/>
    <w:rsid w:val="37130FE3"/>
    <w:rsid w:val="37360960"/>
    <w:rsid w:val="378857B3"/>
    <w:rsid w:val="378C012D"/>
    <w:rsid w:val="37ED6CAA"/>
    <w:rsid w:val="38421659"/>
    <w:rsid w:val="394207DB"/>
    <w:rsid w:val="3A7A6DCD"/>
    <w:rsid w:val="3B56320E"/>
    <w:rsid w:val="3B702097"/>
    <w:rsid w:val="3CD13EDB"/>
    <w:rsid w:val="3E407CE8"/>
    <w:rsid w:val="3EFC3218"/>
    <w:rsid w:val="409F2D25"/>
    <w:rsid w:val="41481ED3"/>
    <w:rsid w:val="42141B9B"/>
    <w:rsid w:val="426A7BCE"/>
    <w:rsid w:val="43611640"/>
    <w:rsid w:val="43C917FF"/>
    <w:rsid w:val="440C3582"/>
    <w:rsid w:val="448434D9"/>
    <w:rsid w:val="457C4008"/>
    <w:rsid w:val="46C40A3A"/>
    <w:rsid w:val="4735463A"/>
    <w:rsid w:val="47A05AAA"/>
    <w:rsid w:val="483671E0"/>
    <w:rsid w:val="48972D76"/>
    <w:rsid w:val="494C3228"/>
    <w:rsid w:val="4AEF475E"/>
    <w:rsid w:val="4C1D505D"/>
    <w:rsid w:val="4C935F3D"/>
    <w:rsid w:val="4CB30DFF"/>
    <w:rsid w:val="4CCC0113"/>
    <w:rsid w:val="4E497B5F"/>
    <w:rsid w:val="4EE6170D"/>
    <w:rsid w:val="51A62C6F"/>
    <w:rsid w:val="522C7607"/>
    <w:rsid w:val="53A414A2"/>
    <w:rsid w:val="550B1D3D"/>
    <w:rsid w:val="559F61B5"/>
    <w:rsid w:val="56466840"/>
    <w:rsid w:val="56982E14"/>
    <w:rsid w:val="573617D2"/>
    <w:rsid w:val="57FD08D3"/>
    <w:rsid w:val="58AC6A92"/>
    <w:rsid w:val="5902641E"/>
    <w:rsid w:val="5B107A78"/>
    <w:rsid w:val="5B5201FC"/>
    <w:rsid w:val="5C9556DA"/>
    <w:rsid w:val="5CE96177"/>
    <w:rsid w:val="5D4B0BE0"/>
    <w:rsid w:val="5D975035"/>
    <w:rsid w:val="5DB64914"/>
    <w:rsid w:val="5EE3269F"/>
    <w:rsid w:val="5F0A7158"/>
    <w:rsid w:val="5FA01104"/>
    <w:rsid w:val="61ED1CAB"/>
    <w:rsid w:val="632C5E80"/>
    <w:rsid w:val="633839B4"/>
    <w:rsid w:val="633B0500"/>
    <w:rsid w:val="637F05E7"/>
    <w:rsid w:val="63E1404C"/>
    <w:rsid w:val="6436423C"/>
    <w:rsid w:val="646B3552"/>
    <w:rsid w:val="652303E3"/>
    <w:rsid w:val="678A222B"/>
    <w:rsid w:val="67D113D6"/>
    <w:rsid w:val="67E956CD"/>
    <w:rsid w:val="68A87B77"/>
    <w:rsid w:val="69E6594B"/>
    <w:rsid w:val="69ED55BD"/>
    <w:rsid w:val="6A9A30D8"/>
    <w:rsid w:val="6AB26975"/>
    <w:rsid w:val="6AE544EF"/>
    <w:rsid w:val="6B923E7E"/>
    <w:rsid w:val="6C9C3206"/>
    <w:rsid w:val="6CF32868"/>
    <w:rsid w:val="6D1A3FF7"/>
    <w:rsid w:val="6DD8026E"/>
    <w:rsid w:val="6E6A1866"/>
    <w:rsid w:val="6F72024E"/>
    <w:rsid w:val="723E2669"/>
    <w:rsid w:val="73BC2374"/>
    <w:rsid w:val="743374C1"/>
    <w:rsid w:val="74E42CE2"/>
    <w:rsid w:val="75114B05"/>
    <w:rsid w:val="755C6E6D"/>
    <w:rsid w:val="76123086"/>
    <w:rsid w:val="7666465D"/>
    <w:rsid w:val="7735016C"/>
    <w:rsid w:val="77B016F4"/>
    <w:rsid w:val="77EA1CD8"/>
    <w:rsid w:val="797B56E2"/>
    <w:rsid w:val="79A4094F"/>
    <w:rsid w:val="7AAB3520"/>
    <w:rsid w:val="7ADD5C7E"/>
    <w:rsid w:val="7C555D07"/>
    <w:rsid w:val="7C7F037E"/>
    <w:rsid w:val="7DF671D6"/>
    <w:rsid w:val="7E2E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0"/>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4">
    <w:name w:val="heading 3"/>
    <w:basedOn w:val="1"/>
    <w:next w:val="1"/>
    <w:qFormat/>
    <w:uiPriority w:val="0"/>
    <w:pPr>
      <w:keepNext/>
      <w:keepLines/>
      <w:spacing w:line="360" w:lineRule="auto"/>
      <w:outlineLvl w:val="2"/>
    </w:pPr>
    <w:rPr>
      <w:b/>
      <w:bCs/>
      <w:sz w:val="24"/>
      <w:szCs w:val="32"/>
    </w:rPr>
  </w:style>
  <w:style w:type="paragraph" w:styleId="5">
    <w:name w:val="heading 4"/>
    <w:basedOn w:val="1"/>
    <w:next w:val="1"/>
    <w:qFormat/>
    <w:uiPriority w:val="0"/>
    <w:pPr>
      <w:keepNext/>
      <w:keepLines/>
      <w:spacing w:line="360" w:lineRule="auto"/>
      <w:outlineLvl w:val="3"/>
    </w:pPr>
    <w:rPr>
      <w:rFonts w:ascii="宋体" w:hAnsi="Arial" w:eastAsia="仿宋_GB2312"/>
      <w:kern w:val="21"/>
      <w:sz w:val="28"/>
      <w:szCs w:val="20"/>
    </w:rPr>
  </w:style>
  <w:style w:type="paragraph" w:styleId="6">
    <w:name w:val="heading 5"/>
    <w:basedOn w:val="1"/>
    <w:next w:val="1"/>
    <w:unhideWhenUsed/>
    <w:qFormat/>
    <w:uiPriority w:val="9"/>
    <w:pPr>
      <w:keepNext/>
      <w:keepLines/>
      <w:numPr>
        <w:ilvl w:val="4"/>
        <w:numId w:val="1"/>
      </w:numPr>
      <w:spacing w:before="50" w:beforeLines="50"/>
      <w:outlineLvl w:val="4"/>
    </w:p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style>
  <w:style w:type="paragraph" w:styleId="3">
    <w:name w:val="Body Text"/>
    <w:basedOn w:val="1"/>
    <w:next w:val="1"/>
    <w:qFormat/>
    <w:uiPriority w:val="99"/>
    <w:pPr>
      <w:autoSpaceDE w:val="0"/>
      <w:autoSpaceDN w:val="0"/>
      <w:adjustRightInd w:val="0"/>
      <w:snapToGrid w:val="0"/>
      <w:spacing w:line="580" w:lineRule="exact"/>
      <w:textAlignment w:val="baseline"/>
    </w:pPr>
    <w:rPr>
      <w:rFonts w:ascii="仿宋_GB2312" w:eastAsia="仿宋_GB2312"/>
      <w:spacing w:val="-20"/>
      <w:kern w:val="0"/>
      <w:sz w:val="32"/>
      <w:szCs w:val="20"/>
    </w:rPr>
  </w:style>
  <w:style w:type="paragraph" w:styleId="7">
    <w:name w:val="Normal Indent"/>
    <w:basedOn w:val="1"/>
    <w:next w:val="1"/>
    <w:qFormat/>
    <w:uiPriority w:val="0"/>
    <w:pPr>
      <w:ind w:firstLine="420"/>
    </w:pPr>
  </w:style>
  <w:style w:type="paragraph" w:styleId="8">
    <w:name w:val="annotation text"/>
    <w:basedOn w:val="1"/>
    <w:qFormat/>
    <w:uiPriority w:val="0"/>
    <w:pPr>
      <w:jc w:val="left"/>
    </w:pPr>
  </w:style>
  <w:style w:type="paragraph" w:styleId="9">
    <w:name w:val="Body Text Indent"/>
    <w:basedOn w:val="1"/>
    <w:next w:val="10"/>
    <w:qFormat/>
    <w:uiPriority w:val="0"/>
    <w:pPr>
      <w:spacing w:after="120" w:afterLines="0" w:afterAutospacing="0"/>
      <w:ind w:left="420" w:leftChars="200"/>
    </w:pPr>
  </w:style>
  <w:style w:type="paragraph" w:styleId="10">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List Bullet 5"/>
    <w:basedOn w:val="1"/>
    <w:qFormat/>
    <w:uiPriority w:val="0"/>
    <w:pPr>
      <w:numPr>
        <w:ilvl w:val="0"/>
        <w:numId w:val="2"/>
      </w:numPr>
    </w:pPr>
  </w:style>
  <w:style w:type="paragraph" w:styleId="12">
    <w:name w:val="Body Text Indent 2"/>
    <w:basedOn w:val="1"/>
    <w:qFormat/>
    <w:uiPriority w:val="0"/>
    <w:pPr>
      <w:snapToGrid w:val="0"/>
      <w:spacing w:line="420" w:lineRule="exact"/>
      <w:ind w:firstLine="480"/>
    </w:pPr>
    <w:rPr>
      <w:sz w:val="24"/>
    </w:rPr>
  </w:style>
  <w:style w:type="paragraph" w:styleId="13">
    <w:name w:val="footer"/>
    <w:basedOn w:val="1"/>
    <w:qFormat/>
    <w:uiPriority w:val="0"/>
    <w:pPr>
      <w:tabs>
        <w:tab w:val="center" w:pos="4153"/>
        <w:tab w:val="right" w:pos="8306"/>
      </w:tabs>
      <w:snapToGrid w:val="0"/>
      <w:jc w:val="left"/>
    </w:pPr>
    <w:rPr>
      <w:sz w:val="18"/>
    </w:rPr>
  </w:style>
  <w:style w:type="paragraph" w:styleId="14">
    <w:name w:val="List"/>
    <w:basedOn w:val="1"/>
    <w:next w:val="1"/>
    <w:semiHidden/>
    <w:unhideWhenUsed/>
    <w:qFormat/>
    <w:uiPriority w:val="99"/>
    <w:pPr>
      <w:ind w:left="200" w:hanging="200" w:hangingChars="200"/>
    </w:pPr>
  </w:style>
  <w:style w:type="paragraph" w:styleId="15">
    <w:name w:val="table of figures"/>
    <w:basedOn w:val="1"/>
    <w:next w:val="1"/>
    <w:qFormat/>
    <w:uiPriority w:val="0"/>
    <w:pPr>
      <w:autoSpaceDE w:val="0"/>
      <w:autoSpaceDN w:val="0"/>
      <w:spacing w:line="240" w:lineRule="auto"/>
      <w:ind w:firstLine="0" w:firstLineChars="0"/>
      <w:jc w:val="center"/>
    </w:pPr>
    <w:rPr>
      <w:b/>
      <w:bCs/>
      <w:iCs/>
    </w:rPr>
  </w:style>
  <w:style w:type="paragraph" w:styleId="16">
    <w:name w:val="Body Text First Indent 2"/>
    <w:basedOn w:val="9"/>
    <w:next w:val="1"/>
    <w:qFormat/>
    <w:uiPriority w:val="0"/>
    <w:pPr>
      <w:ind w:firstLine="420" w:firstLineChars="200"/>
    </w:p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Default"/>
    <w:basedOn w:val="21"/>
    <w:next w:val="1"/>
    <w:qFormat/>
    <w:uiPriority w:val="0"/>
    <w:pPr>
      <w:widowControl w:val="0"/>
      <w:tabs>
        <w:tab w:val="left" w:pos="1845"/>
      </w:tabs>
      <w:autoSpaceDE w:val="0"/>
      <w:autoSpaceDN w:val="0"/>
      <w:adjustRightInd w:val="0"/>
    </w:pPr>
    <w:rPr>
      <w:rFonts w:ascii="宋体" w:cs="宋体"/>
      <w:color w:val="000000"/>
      <w:sz w:val="24"/>
      <w:szCs w:val="24"/>
      <w:lang w:val="en-US" w:eastAsia="zh-CN" w:bidi="ar-SA"/>
    </w:rPr>
  </w:style>
  <w:style w:type="paragraph" w:customStyle="1" w:styleId="21">
    <w:name w:val="纯文本1"/>
    <w:basedOn w:val="1"/>
    <w:qFormat/>
    <w:uiPriority w:val="0"/>
    <w:pPr>
      <w:tabs>
        <w:tab w:val="left" w:pos="1845"/>
      </w:tabs>
      <w:spacing w:line="240" w:lineRule="exact"/>
      <w:jc w:val="center"/>
    </w:pPr>
    <w:rPr>
      <w:sz w:val="18"/>
    </w:rPr>
  </w:style>
  <w:style w:type="paragraph" w:customStyle="1" w:styleId="22">
    <w:name w:val="样式 样式 样式 四号 左侧:  1.53 厘米 + 首行缩进:  2 字符 + 居中 左侧:  2 字符 首行缩进:  2..."/>
    <w:basedOn w:val="1"/>
    <w:qFormat/>
    <w:uiPriority w:val="0"/>
    <w:pPr>
      <w:adjustRightInd w:val="0"/>
      <w:spacing w:line="240" w:lineRule="auto"/>
      <w:ind w:left="200" w:leftChars="200" w:firstLine="0" w:firstLineChars="0"/>
      <w:jc w:val="center"/>
    </w:pPr>
    <w:rPr>
      <w:rFonts w:ascii="Calibri" w:hAnsi="Calibri" w:cs="宋体"/>
      <w:w w:val="90"/>
      <w:sz w:val="28"/>
      <w:szCs w:val="20"/>
    </w:rPr>
  </w:style>
  <w:style w:type="paragraph" w:customStyle="1" w:styleId="23">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24">
    <w:name w:val="xl27"/>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pPr>
    <w:rPr>
      <w:rFonts w:ascii="Arial Unicode MS" w:hAnsi="Arial Unicode MS" w:eastAsia="Arial Unicode MS" w:cs="Arial Unicode MS"/>
      <w:sz w:val="18"/>
      <w:szCs w:val="18"/>
    </w:rPr>
  </w:style>
  <w:style w:type="paragraph" w:customStyle="1" w:styleId="25">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26">
    <w:name w:val="样式5"/>
    <w:basedOn w:val="7"/>
    <w:qFormat/>
    <w:uiPriority w:val="0"/>
    <w:pPr>
      <w:snapToGrid w:val="0"/>
      <w:spacing w:before="62" w:beforeLines="20" w:after="62" w:afterLines="20" w:line="480" w:lineRule="exact"/>
      <w:ind w:firstLine="523" w:firstLineChars="218"/>
      <w:jc w:val="both"/>
    </w:pPr>
    <w:rPr>
      <w:i/>
      <w:iCs/>
      <w:kern w:val="2"/>
      <w:sz w:val="24"/>
      <w:szCs w:val="20"/>
    </w:rPr>
  </w:style>
  <w:style w:type="paragraph" w:customStyle="1" w:styleId="27">
    <w:name w:val="正文(首行缩进)"/>
    <w:basedOn w:val="1"/>
    <w:next w:val="1"/>
    <w:qFormat/>
    <w:uiPriority w:val="0"/>
    <w:pPr>
      <w:spacing w:line="360" w:lineRule="auto"/>
      <w:ind w:firstLine="540" w:firstLineChars="225"/>
    </w:pPr>
    <w:rPr>
      <w:snapToGrid w:val="0"/>
      <w:color w:val="000000"/>
      <w:sz w:val="24"/>
      <w:szCs w:val="24"/>
    </w:rPr>
  </w:style>
  <w:style w:type="paragraph" w:customStyle="1" w:styleId="28">
    <w:name w:val="Normal Indent1"/>
    <w:basedOn w:val="1"/>
    <w:qFormat/>
    <w:uiPriority w:val="0"/>
    <w:pPr>
      <w:ind w:firstLine="420" w:firstLineChars="200"/>
    </w:pPr>
  </w:style>
  <w:style w:type="paragraph" w:customStyle="1" w:styleId="29">
    <w:name w:val="BodyText"/>
    <w:basedOn w:val="1"/>
    <w:qFormat/>
    <w:uiPriority w:val="0"/>
    <w:pPr>
      <w:spacing w:after="120"/>
      <w:jc w:val="both"/>
      <w:textAlignment w:val="baseline"/>
    </w:pPr>
  </w:style>
  <w:style w:type="character" w:customStyle="1" w:styleId="30">
    <w:name w:val="NormalCharacter"/>
    <w:link w:val="1"/>
    <w:semiHidden/>
    <w:qFormat/>
    <w:uiPriority w:val="0"/>
    <w:rPr>
      <w:rFonts w:ascii="Times New Roman" w:hAnsi="Times New Roman" w:eastAsia="宋体" w:cstheme="minorBidi"/>
      <w:kern w:val="2"/>
      <w:sz w:val="21"/>
      <w:szCs w:val="24"/>
      <w:lang w:val="en-US" w:eastAsia="zh-CN" w:bidi="ar-SA"/>
    </w:rPr>
  </w:style>
  <w:style w:type="paragraph" w:customStyle="1" w:styleId="31">
    <w:name w:val="UserStyle_4"/>
    <w:basedOn w:val="1"/>
    <w:qFormat/>
    <w:uiPriority w:val="0"/>
    <w:pPr>
      <w:ind w:left="200" w:leftChars="200" w:firstLine="200" w:firstLineChars="200"/>
      <w:jc w:val="both"/>
      <w:textAlignment w:val="baseline"/>
    </w:pPr>
    <w:rPr>
      <w:rFonts w:ascii="宋体" w:hAnsi="宋体"/>
      <w:color w:val="000000"/>
      <w:kern w:val="2"/>
      <w:sz w:val="32"/>
      <w:szCs w:val="32"/>
      <w:lang w:val="en-US" w:eastAsia="zh-CN" w:bidi="ar-SA"/>
    </w:rPr>
  </w:style>
  <w:style w:type="paragraph" w:customStyle="1" w:styleId="32">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宋体" w:cs="Arial Unicode MS"/>
      <w:color w:val="000000"/>
      <w:kern w:val="2"/>
      <w:sz w:val="21"/>
      <w:szCs w:val="21"/>
      <w:u w:val="none" w:color="000000"/>
      <w:lang w:val="en-US" w:eastAsia="zh-CN" w:bidi="ar-SA"/>
    </w:rPr>
  </w:style>
  <w:style w:type="paragraph" w:customStyle="1" w:styleId="33">
    <w:name w:val="报告1"/>
    <w:basedOn w:val="1"/>
    <w:qFormat/>
    <w:uiPriority w:val="0"/>
    <w:pPr>
      <w:adjustRightInd w:val="0"/>
      <w:spacing w:line="360" w:lineRule="auto"/>
      <w:ind w:firstLine="505"/>
      <w:jc w:val="left"/>
      <w:textAlignment w:val="baseline"/>
    </w:pPr>
    <w:rPr>
      <w:kern w:val="0"/>
      <w:sz w:val="24"/>
    </w:rPr>
  </w:style>
  <w:style w:type="paragraph" w:customStyle="1" w:styleId="34">
    <w:name w:val="A正文"/>
    <w:basedOn w:val="1"/>
    <w:qFormat/>
    <w:uiPriority w:val="0"/>
    <w:pPr>
      <w:spacing w:line="560" w:lineRule="exact"/>
      <w:ind w:firstLine="599" w:firstLineChars="200"/>
    </w:pPr>
    <w:rPr>
      <w:rFonts w:ascii="仿宋_GB2312" w:hAnsi="仿宋_GB2312" w:eastAsia="仿宋_GB2312" w:cs="Times New Roman"/>
      <w:bCs/>
      <w:spacing w:val="-8"/>
      <w:sz w:val="32"/>
      <w:szCs w:val="32"/>
    </w:rPr>
  </w:style>
  <w:style w:type="paragraph" w:customStyle="1" w:styleId="35">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2324</Words>
  <Characters>2523</Characters>
  <Lines>0</Lines>
  <Paragraphs>0</Paragraphs>
  <TotalTime>6</TotalTime>
  <ScaleCrop>false</ScaleCrop>
  <LinksUpToDate>false</LinksUpToDate>
  <CharactersWithSpaces>2607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2023-03-31T08:28:00Z</dcterms:created>
  <dc:creator>Lenovo1</dc:creator>
  <cp:lastModifiedBy>Krismileˇ~</cp:lastModifiedBy>
  <cp:lastPrinted>2026-03-17T05:01:00Z</cp:lastPrinted>
  <dcterms:modified xsi:type="dcterms:W3CDTF">2026-07-31T04:57:29Z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9016D861BF8E4E3ABEC1DCA619D395B5_13</vt:lpwstr>
  </property>
  <property fmtid="{D5CDD505-2E9C-101B-9397-08002B2CF9AE}" pid="4" name="KSOTemplateDocerSaveRecord">
    <vt:lpwstr>eyJoZGlkIjoiOTA3YWNiNGY5NTYwYmI5ZWExYmVjZmZhYzE1YmNiMmUiLCJ1c2VySWQiOiI0NDQ3ODQwNzcifQ==</vt:lpwstr>
  </property>
</Properties>
</file>