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47CB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w:hAnsi="Times New Roman" w:eastAsia="方正小标宋简体" w:cs="Times New Roman"/>
          <w:b w:val="0"/>
          <w:bCs w:val="0"/>
          <w:color w:val="000000"/>
          <w:sz w:val="44"/>
          <w:szCs w:val="44"/>
        </w:rPr>
      </w:pPr>
    </w:p>
    <w:p w14:paraId="477A637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w:hAnsi="Times New Roman" w:eastAsia="方正小标宋简体" w:cs="Times New Roman"/>
          <w:b w:val="0"/>
          <w:bCs w:val="0"/>
          <w:color w:val="000000"/>
          <w:sz w:val="44"/>
          <w:szCs w:val="44"/>
          <w:lang w:eastAsia="zh-CN"/>
        </w:rPr>
      </w:pPr>
      <w:r>
        <w:rPr>
          <w:rFonts w:hint="default" w:ascii="Times New Roman" w:hAnsi="Times New Roman" w:eastAsia="方正小标宋简体" w:cs="Times New Roman"/>
          <w:b w:val="0"/>
          <w:bCs w:val="0"/>
          <w:color w:val="000000"/>
          <w:sz w:val="44"/>
          <w:szCs w:val="44"/>
        </w:rPr>
        <w:t>以案为鉴守底线源头管控筑平安</w:t>
      </w:r>
      <w:r>
        <w:rPr>
          <w:rFonts w:hint="default" w:ascii="Times New Roman" w:hAnsi="Times New Roman" w:eastAsia="方正小标宋简体" w:cs="Times New Roman"/>
          <w:b w:val="0"/>
          <w:bCs w:val="0"/>
          <w:color w:val="000000"/>
          <w:sz w:val="44"/>
          <w:szCs w:val="44"/>
          <w:lang w:eastAsia="zh-CN"/>
        </w:rPr>
        <w:t>——</w:t>
      </w:r>
    </w:p>
    <w:p w14:paraId="5E529D9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firstLine="0" w:firstLineChars="0"/>
        <w:jc w:val="center"/>
        <w:textAlignment w:val="auto"/>
        <w:rPr>
          <w:rFonts w:hint="default" w:ascii="Times New Roman" w:hAnsi="Times New Roman" w:eastAsia="方正小标宋简体" w:cs="Times New Roman"/>
          <w:b w:val="0"/>
          <w:bCs w:val="0"/>
          <w:color w:val="000000"/>
          <w:sz w:val="44"/>
          <w:szCs w:val="44"/>
        </w:rPr>
      </w:pPr>
      <w:r>
        <w:rPr>
          <w:rFonts w:hint="default" w:ascii="Times New Roman" w:hAnsi="Times New Roman" w:eastAsia="方正小标宋简体" w:cs="Times New Roman"/>
          <w:b w:val="0"/>
          <w:bCs w:val="0"/>
          <w:color w:val="000000"/>
          <w:sz w:val="44"/>
          <w:szCs w:val="44"/>
        </w:rPr>
        <w:t>十二师交通运输行业安全生产典型违法案例</w:t>
      </w:r>
    </w:p>
    <w:p w14:paraId="1993233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firstLine="0" w:firstLineChars="0"/>
        <w:jc w:val="center"/>
        <w:textAlignment w:val="auto"/>
        <w:rPr>
          <w:rFonts w:hint="default" w:ascii="Times New Roman" w:hAnsi="Times New Roman" w:eastAsia="方正小标宋简体" w:cs="Times New Roman"/>
          <w:b w:val="0"/>
          <w:bCs w:val="0"/>
          <w:color w:val="000000"/>
          <w:sz w:val="44"/>
          <w:szCs w:val="44"/>
        </w:rPr>
      </w:pPr>
      <w:r>
        <w:rPr>
          <w:rFonts w:hint="default" w:ascii="Times New Roman" w:hAnsi="Times New Roman" w:eastAsia="方正小标宋简体" w:cs="Times New Roman"/>
          <w:b w:val="0"/>
          <w:bCs w:val="0"/>
          <w:color w:val="000000"/>
          <w:sz w:val="44"/>
          <w:szCs w:val="44"/>
        </w:rPr>
        <w:t>警示通报</w:t>
      </w:r>
    </w:p>
    <w:p w14:paraId="2C901C24">
      <w:pPr>
        <w:keepNext w:val="0"/>
        <w:keepLines w:val="0"/>
        <w:pageBreakBefore w:val="0"/>
        <w:kinsoku/>
        <w:wordWrap/>
        <w:overflowPunct/>
        <w:topLinePunct w:val="0"/>
        <w:autoSpaceDE/>
        <w:autoSpaceDN/>
        <w:bidi w:val="0"/>
        <w:adjustRightInd/>
        <w:snapToGrid/>
        <w:spacing w:line="500" w:lineRule="exact"/>
        <w:textAlignment w:val="auto"/>
        <w:rPr>
          <w:rFonts w:hint="default" w:ascii="Times New Roman" w:hAnsi="Times New Roman" w:cs="Times New Roman"/>
        </w:rPr>
      </w:pPr>
    </w:p>
    <w:p w14:paraId="765DF07B">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为深入推进交通运输领域安全生产工作，切实压实企业安全生产主体责任</w:t>
      </w:r>
      <w:r>
        <w:rPr>
          <w:rFonts w:hint="default" w:ascii="Times New Roman" w:hAnsi="Times New Roman" w:eastAsia="仿宋_GB2312" w:cs="Times New Roman"/>
          <w:color w:val="000000"/>
          <w:kern w:val="0"/>
          <w:sz w:val="32"/>
          <w:szCs w:val="32"/>
          <w:lang w:val="en-US" w:eastAsia="zh-CN" w:bidi="ar"/>
        </w:rPr>
        <w:t>，强化行业源头监管、路面联合执法震慑效应，十二师交通运输</w:t>
      </w:r>
      <w:r>
        <w:rPr>
          <w:rFonts w:hint="eastAsia" w:cs="Times New Roman"/>
          <w:color w:val="000000"/>
          <w:kern w:val="0"/>
          <w:sz w:val="32"/>
          <w:szCs w:val="32"/>
          <w:lang w:val="en-US" w:eastAsia="zh-CN" w:bidi="ar"/>
        </w:rPr>
        <w:t>局</w:t>
      </w:r>
      <w:r>
        <w:rPr>
          <w:rFonts w:hint="default" w:ascii="Times New Roman" w:hAnsi="Times New Roman" w:eastAsia="仿宋_GB2312" w:cs="Times New Roman"/>
          <w:color w:val="000000"/>
          <w:kern w:val="0"/>
          <w:sz w:val="32"/>
          <w:szCs w:val="32"/>
          <w:lang w:val="en-US" w:eastAsia="zh-CN" w:bidi="ar"/>
        </w:rPr>
        <w:t>梳理近期查处</w:t>
      </w:r>
      <w:r>
        <w:rPr>
          <w:rFonts w:hint="eastAsia" w:cs="Times New Roman"/>
          <w:color w:val="000000"/>
          <w:kern w:val="0"/>
          <w:sz w:val="32"/>
          <w:szCs w:val="32"/>
          <w:highlight w:val="none"/>
          <w:lang w:val="en-US" w:eastAsia="zh-CN" w:bidi="ar"/>
        </w:rPr>
        <w:t>的</w:t>
      </w:r>
      <w:r>
        <w:rPr>
          <w:rFonts w:hint="default" w:ascii="Times New Roman" w:hAnsi="Times New Roman" w:eastAsia="仿宋_GB2312" w:cs="Times New Roman"/>
          <w:color w:val="000000"/>
          <w:kern w:val="0"/>
          <w:sz w:val="32"/>
          <w:szCs w:val="32"/>
          <w:lang w:val="en-US" w:eastAsia="zh-CN" w:bidi="ar"/>
        </w:rPr>
        <w:t>5起交通运输领域典型违法案件，引导辖区货运、客运、物流企业以案自省、以案促改，</w:t>
      </w:r>
      <w:r>
        <w:rPr>
          <w:rFonts w:hint="default" w:ascii="Times New Roman" w:hAnsi="Times New Roman" w:eastAsia="仿宋_GB2312" w:cs="Times New Roman"/>
          <w:kern w:val="0"/>
          <w:sz w:val="32"/>
          <w:szCs w:val="32"/>
          <w:lang w:val="en-US" w:eastAsia="zh-CN" w:bidi="ar"/>
        </w:rPr>
        <w:t>现将有关情况通报如下。</w:t>
      </w:r>
    </w:p>
    <w:p w14:paraId="0C80118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eastAsia="黑体" w:cs="Times New Roman"/>
          <w:b w:val="0"/>
          <w:bCs w:val="0"/>
          <w:color w:val="000000"/>
          <w:sz w:val="32"/>
          <w:szCs w:val="32"/>
        </w:rPr>
      </w:pPr>
      <w:r>
        <w:rPr>
          <w:rFonts w:hint="default" w:ascii="Times New Roman" w:hAnsi="Times New Roman" w:eastAsia="黑体" w:cs="Times New Roman"/>
          <w:b w:val="0"/>
          <w:bCs w:val="0"/>
          <w:color w:val="000000"/>
          <w:sz w:val="32"/>
          <w:szCs w:val="32"/>
        </w:rPr>
        <w:t>案例一：</w:t>
      </w:r>
      <w:r>
        <w:rPr>
          <w:rFonts w:hint="default" w:ascii="Times New Roman" w:hAnsi="Times New Roman" w:eastAsia="黑体" w:cs="Times New Roman"/>
          <w:b w:val="0"/>
          <w:bCs w:val="0"/>
          <w:color w:val="000000"/>
          <w:sz w:val="32"/>
          <w:szCs w:val="32"/>
          <w:lang w:val="en-US" w:eastAsia="zh-CN"/>
        </w:rPr>
        <w:t>十二师某客运公司未按照规定对从业人员进行安全生产教育和培训</w:t>
      </w:r>
      <w:r>
        <w:rPr>
          <w:rFonts w:hint="default" w:ascii="Times New Roman" w:hAnsi="Times New Roman" w:eastAsia="黑体" w:cs="Times New Roman"/>
          <w:b w:val="0"/>
          <w:bCs w:val="0"/>
          <w:color w:val="000000"/>
          <w:sz w:val="32"/>
          <w:szCs w:val="32"/>
        </w:rPr>
        <w:t>案</w:t>
      </w:r>
    </w:p>
    <w:p w14:paraId="003D8DF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基本案情</w:t>
      </w:r>
    </w:p>
    <w:p w14:paraId="0507B5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kern w:val="0"/>
          <w:sz w:val="32"/>
          <w:szCs w:val="32"/>
          <w:lang w:val="en-US" w:eastAsia="zh-CN" w:bidi="ar"/>
        </w:rPr>
        <w:t>2025年3月20日，十二师交通运输综合行政执法支队联合乌鲁木齐市公安局交警支队开展年度安全生产检查，核查安全教育平台记录时查实该企业多</w:t>
      </w:r>
      <w:r>
        <w:rPr>
          <w:rFonts w:hint="default" w:ascii="Times New Roman" w:hAnsi="Times New Roman" w:eastAsia="仿宋_GB2312" w:cs="Times New Roman"/>
          <w:color w:val="000000"/>
          <w:kern w:val="0"/>
          <w:sz w:val="32"/>
          <w:szCs w:val="32"/>
          <w:highlight w:val="none"/>
          <w:lang w:val="en-US" w:eastAsia="zh-CN" w:bidi="ar"/>
        </w:rPr>
        <w:t>项违规</w:t>
      </w:r>
      <w:r>
        <w:rPr>
          <w:rFonts w:hint="eastAsia" w:cs="Times New Roman"/>
          <w:color w:val="000000"/>
          <w:kern w:val="0"/>
          <w:sz w:val="32"/>
          <w:szCs w:val="32"/>
          <w:highlight w:val="none"/>
          <w:lang w:val="en-US" w:eastAsia="zh-CN" w:bidi="ar"/>
        </w:rPr>
        <w:t>行为</w:t>
      </w:r>
      <w:r>
        <w:rPr>
          <w:rFonts w:hint="default"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lang w:val="en-US" w:eastAsia="zh-CN" w:bidi="ar"/>
        </w:rPr>
        <w:t>一是驾驶员许某未参加岗前培训即上岗作业；二是驾驶员韩某2024年9月未完成安全培训，同期仍存在出车记录；三是驾驶员申某自2024年6月起长期未参与常态化安全教育培训，企业安全培训管理完全失管。</w:t>
      </w:r>
    </w:p>
    <w:p w14:paraId="613FA03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法律依据</w:t>
      </w:r>
    </w:p>
    <w:p w14:paraId="30F98C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eastAsia" w:ascii="Times New Roman" w:hAnsi="Times New Roman" w:eastAsia="仿宋_GB2312" w:cs="Times New Roman"/>
          <w:sz w:val="32"/>
          <w:szCs w:val="32"/>
          <w:highlight w:val="none"/>
          <w:lang w:val="en-US" w:eastAsia="zh-CN"/>
        </w:rPr>
      </w:pPr>
      <w:r>
        <w:rPr>
          <w:rFonts w:hint="eastAsia" w:cs="Times New Roman"/>
          <w:color w:val="000000"/>
          <w:kern w:val="0"/>
          <w:sz w:val="32"/>
          <w:szCs w:val="32"/>
          <w:lang w:val="en-US" w:eastAsia="zh-CN" w:bidi="ar"/>
        </w:rPr>
        <w:t>该</w:t>
      </w:r>
      <w:r>
        <w:rPr>
          <w:rFonts w:hint="default" w:ascii="Times New Roman" w:hAnsi="Times New Roman" w:eastAsia="仿宋_GB2312" w:cs="Times New Roman"/>
          <w:color w:val="000000"/>
          <w:kern w:val="0"/>
          <w:sz w:val="32"/>
          <w:szCs w:val="32"/>
          <w:lang w:val="en-US" w:eastAsia="zh-CN" w:bidi="ar"/>
        </w:rPr>
        <w:t>企业行为违反</w:t>
      </w:r>
      <w:r>
        <w:rPr>
          <w:rFonts w:hint="eastAsia" w:cs="Times New Roman"/>
          <w:color w:val="000000"/>
          <w:kern w:val="0"/>
          <w:sz w:val="32"/>
          <w:szCs w:val="32"/>
          <w:lang w:val="en-US" w:eastAsia="zh-CN" w:bidi="ar"/>
        </w:rPr>
        <w:t>了</w:t>
      </w:r>
      <w:r>
        <w:rPr>
          <w:rFonts w:hint="default" w:ascii="Times New Roman" w:hAnsi="Times New Roman" w:eastAsia="仿宋_GB2312" w:cs="Times New Roman"/>
          <w:color w:val="000000"/>
          <w:kern w:val="0"/>
          <w:sz w:val="32"/>
          <w:szCs w:val="32"/>
          <w:lang w:val="en-US" w:eastAsia="zh-CN" w:bidi="ar"/>
        </w:rPr>
        <w:t>《中华人民共和国安全生产法》第二十八条第一款：</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的规定</w:t>
      </w:r>
      <w:r>
        <w:rPr>
          <w:rFonts w:hint="eastAsia" w:ascii="Times New Roman" w:hAnsi="Times New Roman" w:eastAsia="仿宋_GB2312" w:cs="Times New Roman"/>
          <w:sz w:val="32"/>
          <w:szCs w:val="32"/>
          <w:highlight w:val="none"/>
          <w:lang w:val="en-US" w:eastAsia="zh-CN"/>
        </w:rPr>
        <w:t>。</w:t>
      </w:r>
    </w:p>
    <w:p w14:paraId="4385EC3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kern w:val="0"/>
          <w:sz w:val="32"/>
          <w:szCs w:val="32"/>
          <w:lang w:val="en-US" w:eastAsia="zh-CN" w:bidi="ar"/>
        </w:rPr>
        <w:t>依据《中华人民共和国安全生产法》第九十七条第三项</w:t>
      </w:r>
      <w:r>
        <w:rPr>
          <w:rFonts w:hint="eastAsia" w:cs="Times New Roman"/>
          <w:color w:val="000000"/>
          <w:kern w:val="0"/>
          <w:sz w:val="32"/>
          <w:szCs w:val="32"/>
          <w:lang w:val="en-US" w:eastAsia="zh-CN" w:bidi="ar"/>
        </w:rPr>
        <w:t>：“</w:t>
      </w:r>
      <w:r>
        <w:rPr>
          <w:rFonts w:hint="eastAsia" w:ascii="Times New Roman" w:hAnsi="Times New Roman" w:cs="仿宋_GB2312"/>
          <w:sz w:val="32"/>
          <w:szCs w:val="32"/>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三）</w:t>
      </w:r>
      <w:r>
        <w:rPr>
          <w:rFonts w:hint="default" w:ascii="Times New Roman" w:hAnsi="Times New Roman" w:eastAsia="仿宋_GB2312" w:cs="Times New Roman"/>
          <w:sz w:val="32"/>
          <w:szCs w:val="32"/>
          <w:highlight w:val="none"/>
          <w:lang w:val="en-US" w:eastAsia="zh-CN"/>
        </w:rPr>
        <w:t>未按照规定对从业人员、被派遣劳动者、实习学生进行安全生产教育和培训，或者未按照规定如实告知有关的安全生产事项的</w:t>
      </w:r>
      <w:r>
        <w:rPr>
          <w:rFonts w:hint="eastAsia" w:ascii="Times New Roman" w:hAnsi="Times New Roman"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参照《新疆维吾尔自治区新疆生产建设兵团交通运输行政处罚裁量基准》</w:t>
      </w:r>
      <w:r>
        <w:rPr>
          <w:rFonts w:hint="default" w:ascii="Times New Roman" w:hAnsi="Times New Roman" w:eastAsia="仿宋_GB2312" w:cs="Times New Roman"/>
          <w:color w:val="auto"/>
          <w:sz w:val="32"/>
          <w:szCs w:val="32"/>
          <w:highlight w:val="none"/>
          <w:lang w:val="en-US" w:eastAsia="zh-CN"/>
        </w:rPr>
        <w:t>第70项</w:t>
      </w:r>
      <w:r>
        <w:rPr>
          <w:rFonts w:hint="default" w:ascii="Times New Roman" w:hAnsi="Times New Roman" w:eastAsia="仿宋_GB2312" w:cs="Times New Roman"/>
          <w:sz w:val="32"/>
          <w:szCs w:val="32"/>
          <w:highlight w:val="none"/>
          <w:lang w:val="en-US" w:eastAsia="zh-CN"/>
        </w:rPr>
        <w:t>的规定</w:t>
      </w:r>
      <w:r>
        <w:rPr>
          <w:rFonts w:hint="eastAsia" w:ascii="Times New Roman" w:hAnsi="Times New Roman" w:cs="Times New Roman"/>
          <w:color w:val="auto"/>
          <w:sz w:val="32"/>
          <w:szCs w:val="32"/>
          <w:highlight w:val="none"/>
          <w:lang w:val="en-US" w:eastAsia="zh-CN"/>
        </w:rPr>
        <w:t>，该企业的违法行为属一般情形，可处2万元以下罚款</w:t>
      </w:r>
      <w:r>
        <w:rPr>
          <w:rFonts w:hint="default" w:ascii="Times New Roman" w:hAnsi="Times New Roman" w:eastAsia="仿宋_GB2312" w:cs="Times New Roman"/>
          <w:color w:val="000000"/>
          <w:kern w:val="0"/>
          <w:sz w:val="32"/>
          <w:szCs w:val="32"/>
          <w:lang w:val="en-US" w:eastAsia="zh-CN" w:bidi="ar"/>
        </w:rPr>
        <w:t>。</w:t>
      </w:r>
    </w:p>
    <w:p w14:paraId="17ABCEE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处理结果</w:t>
      </w:r>
    </w:p>
    <w:p w14:paraId="3B9659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kern w:val="0"/>
          <w:sz w:val="32"/>
          <w:szCs w:val="32"/>
          <w:lang w:val="en-US" w:eastAsia="zh-CN" w:bidi="ar"/>
        </w:rPr>
        <w:t>十二师交通运输</w:t>
      </w:r>
      <w:r>
        <w:rPr>
          <w:rFonts w:hint="eastAsia" w:cs="Times New Roman"/>
          <w:color w:val="000000"/>
          <w:kern w:val="0"/>
          <w:sz w:val="32"/>
          <w:szCs w:val="32"/>
          <w:lang w:val="en-US" w:eastAsia="zh-CN" w:bidi="ar"/>
        </w:rPr>
        <w:t>局</w:t>
      </w:r>
      <w:r>
        <w:rPr>
          <w:rFonts w:hint="default" w:ascii="Times New Roman" w:hAnsi="Times New Roman" w:eastAsia="仿宋_GB2312" w:cs="Times New Roman"/>
          <w:color w:val="000000"/>
          <w:kern w:val="0"/>
          <w:sz w:val="32"/>
          <w:szCs w:val="32"/>
          <w:lang w:val="en-US" w:eastAsia="zh-CN" w:bidi="ar"/>
        </w:rPr>
        <w:t>依法对该公司作出罚款人民币壹万元整（¥10000.00）的行政处罚。</w:t>
      </w:r>
    </w:p>
    <w:p w14:paraId="6529140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default" w:ascii="Times New Roman" w:hAnsi="Times New Roman" w:eastAsia="黑体" w:cs="Times New Roman"/>
          <w:b w:val="0"/>
          <w:bCs w:val="0"/>
          <w:color w:val="000000"/>
          <w:sz w:val="32"/>
          <w:szCs w:val="32"/>
        </w:rPr>
      </w:pPr>
      <w:r>
        <w:rPr>
          <w:rFonts w:hint="default" w:ascii="Times New Roman" w:hAnsi="Times New Roman" w:eastAsia="黑体" w:cs="Times New Roman"/>
          <w:b w:val="0"/>
          <w:bCs w:val="0"/>
          <w:color w:val="000000"/>
          <w:sz w:val="32"/>
          <w:szCs w:val="32"/>
        </w:rPr>
        <w:t>案例二：</w:t>
      </w:r>
      <w:r>
        <w:rPr>
          <w:rFonts w:hint="default" w:ascii="Times New Roman" w:hAnsi="Times New Roman" w:eastAsia="黑体" w:cs="Times New Roman"/>
          <w:b w:val="0"/>
          <w:bCs w:val="0"/>
          <w:color w:val="000000"/>
          <w:sz w:val="32"/>
          <w:szCs w:val="32"/>
          <w:lang w:val="en-US" w:eastAsia="zh-CN"/>
        </w:rPr>
        <w:t>十二师某普货运输</w:t>
      </w:r>
      <w:r>
        <w:rPr>
          <w:rFonts w:hint="default" w:ascii="Times New Roman" w:hAnsi="Times New Roman" w:eastAsia="黑体" w:cs="Times New Roman"/>
          <w:b w:val="0"/>
          <w:bCs w:val="0"/>
          <w:color w:val="000000"/>
          <w:sz w:val="32"/>
          <w:szCs w:val="32"/>
        </w:rPr>
        <w:t>公司</w:t>
      </w:r>
      <w:r>
        <w:rPr>
          <w:rFonts w:hint="eastAsia" w:ascii="Times New Roman" w:hAnsi="Times New Roman" w:eastAsia="黑体" w:cs="Times New Roman"/>
          <w:b w:val="0"/>
          <w:bCs w:val="0"/>
          <w:color w:val="000000"/>
          <w:sz w:val="32"/>
          <w:szCs w:val="32"/>
          <w:lang w:val="en-US" w:eastAsia="zh-CN"/>
        </w:rPr>
        <w:t>未采取措施消除事故隐患</w:t>
      </w:r>
      <w:r>
        <w:rPr>
          <w:rFonts w:hint="default" w:ascii="Times New Roman" w:hAnsi="Times New Roman" w:eastAsia="黑体" w:cs="Times New Roman"/>
          <w:b w:val="0"/>
          <w:bCs w:val="0"/>
          <w:color w:val="000000"/>
          <w:sz w:val="32"/>
          <w:szCs w:val="32"/>
        </w:rPr>
        <w:t>案</w:t>
      </w:r>
    </w:p>
    <w:p w14:paraId="108085C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基本案情</w:t>
      </w:r>
    </w:p>
    <w:p w14:paraId="3561C42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kern w:val="0"/>
          <w:sz w:val="32"/>
          <w:szCs w:val="32"/>
          <w:lang w:val="en-US" w:eastAsia="zh-CN" w:bidi="ar"/>
        </w:rPr>
        <w:t>2026年1月28日，十二师交通运输综合行政执法支队对</w:t>
      </w:r>
      <w:r>
        <w:rPr>
          <w:rFonts w:hint="default" w:ascii="Times New Roman" w:hAnsi="Times New Roman" w:cs="Times New Roman"/>
          <w:color w:val="000000"/>
          <w:kern w:val="0"/>
          <w:sz w:val="32"/>
          <w:szCs w:val="32"/>
          <w:lang w:val="en-US" w:eastAsia="zh-CN" w:bidi="ar"/>
        </w:rPr>
        <w:t>某普货运输</w:t>
      </w:r>
      <w:r>
        <w:rPr>
          <w:rFonts w:hint="default" w:ascii="Times New Roman" w:hAnsi="Times New Roman" w:eastAsia="仿宋_GB2312" w:cs="Times New Roman"/>
          <w:color w:val="000000"/>
          <w:kern w:val="0"/>
          <w:sz w:val="32"/>
          <w:szCs w:val="32"/>
          <w:lang w:val="en-US" w:eastAsia="zh-CN" w:bidi="ar"/>
        </w:rPr>
        <w:t>公司开展安全检查，查实企业</w:t>
      </w:r>
      <w:r>
        <w:rPr>
          <w:rFonts w:hint="default" w:ascii="Times New Roman" w:hAnsi="Times New Roman" w:eastAsia="仿宋_GB2312" w:cs="Times New Roman"/>
          <w:color w:val="000000"/>
          <w:kern w:val="0"/>
          <w:sz w:val="32"/>
          <w:szCs w:val="32"/>
          <w:highlight w:val="none"/>
          <w:lang w:val="en-US" w:eastAsia="zh-CN" w:bidi="ar"/>
        </w:rPr>
        <w:t>动态</w:t>
      </w:r>
      <w:r>
        <w:rPr>
          <w:rFonts w:hint="eastAsia" w:cs="Times New Roman"/>
          <w:color w:val="000000"/>
          <w:kern w:val="0"/>
          <w:sz w:val="32"/>
          <w:szCs w:val="32"/>
          <w:highlight w:val="none"/>
          <w:lang w:val="en-US" w:eastAsia="zh-CN" w:bidi="ar"/>
        </w:rPr>
        <w:t>监控</w:t>
      </w:r>
      <w:r>
        <w:rPr>
          <w:rFonts w:hint="default" w:ascii="Times New Roman" w:hAnsi="Times New Roman" w:eastAsia="仿宋_GB2312" w:cs="Times New Roman"/>
          <w:color w:val="000000"/>
          <w:kern w:val="0"/>
          <w:sz w:val="32"/>
          <w:szCs w:val="32"/>
          <w:lang w:val="en-US" w:eastAsia="zh-CN" w:bidi="ar"/>
        </w:rPr>
        <w:t>安全管理</w:t>
      </w:r>
      <w:r>
        <w:rPr>
          <w:rFonts w:hint="eastAsia" w:cs="Times New Roman"/>
          <w:color w:val="000000"/>
          <w:kern w:val="0"/>
          <w:sz w:val="32"/>
          <w:szCs w:val="32"/>
          <w:lang w:val="en-US" w:eastAsia="zh-CN" w:bidi="ar"/>
        </w:rPr>
        <w:t>方面</w:t>
      </w:r>
      <w:r>
        <w:rPr>
          <w:rFonts w:hint="default" w:ascii="Times New Roman" w:hAnsi="Times New Roman" w:eastAsia="仿宋_GB2312" w:cs="Times New Roman"/>
          <w:color w:val="000000"/>
          <w:kern w:val="0"/>
          <w:sz w:val="32"/>
          <w:szCs w:val="32"/>
          <w:lang w:val="en-US" w:eastAsia="zh-CN" w:bidi="ar"/>
        </w:rPr>
        <w:t>存在</w:t>
      </w:r>
      <w:r>
        <w:rPr>
          <w:rFonts w:hint="eastAsia" w:cs="Times New Roman"/>
          <w:color w:val="000000"/>
          <w:kern w:val="0"/>
          <w:sz w:val="32"/>
          <w:szCs w:val="32"/>
          <w:lang w:val="en-US" w:eastAsia="zh-CN" w:bidi="ar"/>
        </w:rPr>
        <w:t>多处隐患</w:t>
      </w:r>
      <w:r>
        <w:rPr>
          <w:rFonts w:hint="default" w:ascii="Times New Roman" w:hAnsi="Times New Roman" w:eastAsia="仿宋_GB2312" w:cs="Times New Roman"/>
          <w:color w:val="000000"/>
          <w:kern w:val="0"/>
          <w:sz w:val="32"/>
          <w:szCs w:val="32"/>
          <w:lang w:val="en-US" w:eastAsia="zh-CN" w:bidi="ar"/>
        </w:rPr>
        <w:t>：2025年11月公司车辆超速、疲劳驾驶预警累计高达2513条，新A</w:t>
      </w:r>
      <w:r>
        <w:rPr>
          <w:rFonts w:hint="eastAsia" w:cs="Times New Roman"/>
          <w:color w:val="000000"/>
          <w:kern w:val="0"/>
          <w:sz w:val="32"/>
          <w:szCs w:val="32"/>
          <w:lang w:val="en-US" w:eastAsia="zh-CN" w:bidi="ar"/>
        </w:rPr>
        <w:t>G</w:t>
      </w:r>
      <w:r>
        <w:rPr>
          <w:rFonts w:hint="default" w:ascii="Times New Roman" w:hAnsi="Times New Roman" w:eastAsia="仿宋_GB2312" w:cs="Times New Roman"/>
          <w:color w:val="000000"/>
          <w:kern w:val="0"/>
          <w:sz w:val="32"/>
          <w:szCs w:val="32"/>
          <w:lang w:val="en-US" w:eastAsia="zh-CN" w:bidi="ar"/>
        </w:rPr>
        <w:t>××</w:t>
      </w:r>
      <w:r>
        <w:rPr>
          <w:rFonts w:hint="eastAsia" w:cs="Times New Roman"/>
          <w:color w:val="000000"/>
          <w:kern w:val="0"/>
          <w:sz w:val="32"/>
          <w:szCs w:val="32"/>
          <w:lang w:val="en-US" w:eastAsia="zh-CN" w:bidi="ar"/>
        </w:rPr>
        <w:t>24</w:t>
      </w:r>
      <w:r>
        <w:rPr>
          <w:rFonts w:hint="default" w:ascii="Times New Roman" w:hAnsi="Times New Roman" w:eastAsia="仿宋_GB2312" w:cs="Times New Roman"/>
          <w:color w:val="000000"/>
          <w:kern w:val="0"/>
          <w:sz w:val="32"/>
          <w:szCs w:val="32"/>
          <w:lang w:val="en-US" w:eastAsia="zh-CN" w:bidi="ar"/>
        </w:rPr>
        <w:t>、新A</w:t>
      </w:r>
      <w:r>
        <w:rPr>
          <w:rFonts w:hint="eastAsia" w:cs="Times New Roman"/>
          <w:color w:val="000000"/>
          <w:kern w:val="0"/>
          <w:sz w:val="32"/>
          <w:szCs w:val="32"/>
          <w:lang w:val="en-US" w:eastAsia="zh-CN" w:bidi="ar"/>
        </w:rPr>
        <w:t>C</w:t>
      </w:r>
      <w:r>
        <w:rPr>
          <w:rFonts w:hint="default" w:ascii="Times New Roman" w:hAnsi="Times New Roman" w:eastAsia="仿宋_GB2312" w:cs="Times New Roman"/>
          <w:color w:val="000000"/>
          <w:kern w:val="0"/>
          <w:sz w:val="32"/>
          <w:szCs w:val="32"/>
          <w:lang w:val="en-US" w:eastAsia="zh-CN" w:bidi="ar"/>
        </w:rPr>
        <w:t>××</w:t>
      </w:r>
      <w:r>
        <w:rPr>
          <w:rFonts w:hint="eastAsia" w:cs="Times New Roman"/>
          <w:color w:val="000000"/>
          <w:kern w:val="0"/>
          <w:sz w:val="32"/>
          <w:szCs w:val="32"/>
          <w:lang w:val="en-US" w:eastAsia="zh-CN" w:bidi="ar"/>
        </w:rPr>
        <w:t>39</w:t>
      </w:r>
      <w:r>
        <w:rPr>
          <w:rFonts w:hint="default" w:ascii="Times New Roman" w:hAnsi="Times New Roman" w:eastAsia="仿宋_GB2312" w:cs="Times New Roman"/>
          <w:color w:val="000000"/>
          <w:kern w:val="0"/>
          <w:sz w:val="32"/>
          <w:szCs w:val="32"/>
          <w:lang w:val="en-US" w:eastAsia="zh-CN" w:bidi="ar"/>
        </w:rPr>
        <w:t>、新A</w:t>
      </w:r>
      <w:r>
        <w:rPr>
          <w:rFonts w:hint="eastAsia" w:cs="Times New Roman"/>
          <w:color w:val="000000"/>
          <w:kern w:val="0"/>
          <w:sz w:val="32"/>
          <w:szCs w:val="32"/>
          <w:lang w:val="en-US" w:eastAsia="zh-CN" w:bidi="ar"/>
        </w:rPr>
        <w:t>D</w:t>
      </w:r>
      <w:r>
        <w:rPr>
          <w:rFonts w:hint="default" w:ascii="Times New Roman" w:hAnsi="Times New Roman" w:eastAsia="仿宋_GB2312" w:cs="Times New Roman"/>
          <w:color w:val="000000"/>
          <w:kern w:val="0"/>
          <w:sz w:val="32"/>
          <w:szCs w:val="32"/>
          <w:lang w:val="en-US" w:eastAsia="zh-CN" w:bidi="ar"/>
        </w:rPr>
        <w:t>××</w:t>
      </w:r>
      <w:r>
        <w:rPr>
          <w:rFonts w:hint="eastAsia" w:cs="Times New Roman"/>
          <w:color w:val="000000"/>
          <w:kern w:val="0"/>
          <w:sz w:val="32"/>
          <w:szCs w:val="32"/>
          <w:lang w:val="en-US" w:eastAsia="zh-CN" w:bidi="ar"/>
        </w:rPr>
        <w:t>34</w:t>
      </w:r>
      <w:r>
        <w:rPr>
          <w:rFonts w:hint="default" w:ascii="Times New Roman" w:hAnsi="Times New Roman" w:eastAsia="仿宋_GB2312" w:cs="Times New Roman"/>
          <w:color w:val="000000"/>
          <w:kern w:val="0"/>
          <w:sz w:val="32"/>
          <w:szCs w:val="32"/>
          <w:lang w:val="en-US" w:eastAsia="zh-CN" w:bidi="ar"/>
        </w:rPr>
        <w:t>等多台货车长期触发“三超一疲劳”报警</w:t>
      </w:r>
      <w:r>
        <w:rPr>
          <w:rFonts w:hint="eastAsia"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企业隐患台账登记缺失，仅少量预警录入管理系统，上千条违法预警未开展约谈、警示、再培训，隐患排查处置未形成闭环管理。</w:t>
      </w:r>
    </w:p>
    <w:p w14:paraId="1A3079E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法律依据</w:t>
      </w:r>
    </w:p>
    <w:p w14:paraId="49F620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b w:val="0"/>
          <w:bCs w:val="0"/>
          <w:kern w:val="0"/>
          <w:sz w:val="32"/>
          <w:szCs w:val="32"/>
        </w:rPr>
      </w:pPr>
      <w:r>
        <w:rPr>
          <w:rFonts w:hint="eastAsia" w:cs="Times New Roman"/>
          <w:color w:val="000000"/>
          <w:kern w:val="0"/>
          <w:sz w:val="32"/>
          <w:szCs w:val="32"/>
          <w:lang w:val="en-US" w:eastAsia="zh-CN" w:bidi="ar"/>
        </w:rPr>
        <w:t>该</w:t>
      </w:r>
      <w:r>
        <w:rPr>
          <w:rFonts w:hint="default" w:ascii="Times New Roman" w:hAnsi="Times New Roman" w:eastAsia="仿宋_GB2312" w:cs="Times New Roman"/>
          <w:color w:val="000000"/>
          <w:kern w:val="0"/>
          <w:sz w:val="32"/>
          <w:szCs w:val="32"/>
          <w:lang w:val="en-US" w:eastAsia="zh-CN" w:bidi="ar"/>
        </w:rPr>
        <w:t>企业行为违反</w:t>
      </w:r>
      <w:r>
        <w:rPr>
          <w:rFonts w:hint="eastAsia" w:cs="Times New Roman"/>
          <w:color w:val="000000"/>
          <w:kern w:val="0"/>
          <w:sz w:val="32"/>
          <w:szCs w:val="32"/>
          <w:lang w:val="en-US" w:eastAsia="zh-CN" w:bidi="ar"/>
        </w:rPr>
        <w:t>了</w:t>
      </w:r>
      <w:r>
        <w:rPr>
          <w:rFonts w:hint="default" w:ascii="Times New Roman" w:hAnsi="Times New Roman" w:eastAsia="仿宋_GB2312" w:cs="Times New Roman"/>
          <w:color w:val="000000"/>
          <w:kern w:val="0"/>
          <w:sz w:val="32"/>
          <w:szCs w:val="32"/>
          <w:lang w:val="en-US" w:eastAsia="zh-CN" w:bidi="ar"/>
        </w:rPr>
        <w:t>《中华人民共和国安全生产法》第四十一条第二款</w:t>
      </w:r>
      <w:r>
        <w:rPr>
          <w:rFonts w:hint="eastAsia" w:cs="Times New Roman"/>
          <w:color w:val="000000"/>
          <w:kern w:val="0"/>
          <w:sz w:val="32"/>
          <w:szCs w:val="32"/>
          <w:lang w:val="en-US" w:eastAsia="zh-CN" w:bidi="ar"/>
        </w:rPr>
        <w:t>：“</w:t>
      </w:r>
      <w:r>
        <w:rPr>
          <w:rFonts w:hint="eastAsia" w:ascii="仿宋_GB2312" w:hAnsi="仿宋_GB2312" w:eastAsia="仿宋_GB2312" w:cs="仿宋_GB2312"/>
          <w:b w:val="0"/>
          <w:bCs w:val="0"/>
          <w:kern w:val="0"/>
          <w:sz w:val="32"/>
          <w:szCs w:val="32"/>
          <w:lang w:val="en-US" w:eastAsia="zh-CN"/>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r>
        <w:rPr>
          <w:rFonts w:hint="eastAsia" w:ascii="仿宋_GB2312" w:hAnsi="仿宋_GB2312" w:cs="仿宋_GB2312"/>
          <w:b w:val="0"/>
          <w:bCs w:val="0"/>
          <w:kern w:val="0"/>
          <w:sz w:val="32"/>
          <w:szCs w:val="32"/>
          <w:lang w:val="en-US" w:eastAsia="zh-CN"/>
        </w:rPr>
        <w:t>”</w:t>
      </w:r>
      <w:r>
        <w:rPr>
          <w:rFonts w:hint="default" w:ascii="Times New Roman" w:hAnsi="Times New Roman" w:eastAsia="仿宋_GB2312" w:cs="Times New Roman"/>
          <w:sz w:val="32"/>
          <w:szCs w:val="32"/>
          <w:highlight w:val="none"/>
          <w:lang w:val="en-US" w:eastAsia="zh-CN"/>
        </w:rPr>
        <w:t>的规定</w:t>
      </w:r>
      <w:r>
        <w:rPr>
          <w:rFonts w:hint="eastAsia" w:ascii="Times New Roman" w:hAnsi="Times New Roman" w:eastAsia="仿宋_GB2312" w:cs="Times New Roman"/>
          <w:sz w:val="32"/>
          <w:szCs w:val="32"/>
          <w:highlight w:val="none"/>
          <w:lang w:val="en-US" w:eastAsia="zh-CN"/>
        </w:rPr>
        <w:t>。</w:t>
      </w:r>
    </w:p>
    <w:p w14:paraId="747735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kern w:val="0"/>
          <w:sz w:val="32"/>
          <w:szCs w:val="32"/>
          <w:lang w:val="en-US" w:eastAsia="zh-CN" w:bidi="ar"/>
        </w:rPr>
        <w:t>依据《中华人民共和国安全生产法》第一百零二条</w:t>
      </w:r>
      <w:r>
        <w:rPr>
          <w:rFonts w:hint="eastAsia" w:cs="Times New Roman"/>
          <w:color w:val="000000"/>
          <w:kern w:val="0"/>
          <w:sz w:val="32"/>
          <w:szCs w:val="32"/>
          <w:lang w:val="en-US" w:eastAsia="zh-CN" w:bidi="ar"/>
        </w:rPr>
        <w:t>：“</w:t>
      </w:r>
      <w:r>
        <w:rPr>
          <w:rFonts w:hint="eastAsia" w:ascii="仿宋_GB2312" w:hAnsi="仿宋_GB2312" w:eastAsia="仿宋_GB2312" w:cs="仿宋_GB2312"/>
          <w:b w:val="0"/>
          <w:bCs w:val="0"/>
          <w:kern w:val="0"/>
          <w:sz w:val="32"/>
          <w:szCs w:val="32"/>
          <w:lang w:val="en-US" w:eastAsia="zh-CN"/>
        </w:rPr>
        <w:t>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r>
        <w:rPr>
          <w:rFonts w:hint="eastAsia" w:ascii="仿宋_GB2312" w:hAnsi="仿宋_GB2312" w:cs="仿宋_GB2312"/>
          <w:b w:val="0"/>
          <w:bCs w:val="0"/>
          <w:kern w:val="0"/>
          <w:sz w:val="32"/>
          <w:szCs w:val="32"/>
          <w:lang w:val="en-US" w:eastAsia="zh-CN"/>
        </w:rPr>
        <w:t>”，</w:t>
      </w:r>
      <w:r>
        <w:rPr>
          <w:rFonts w:hint="eastAsia" w:ascii="仿宋_GB2312" w:hAnsi="仿宋_GB2312" w:eastAsia="仿宋_GB2312" w:cs="仿宋_GB2312"/>
          <w:b w:val="0"/>
          <w:bCs w:val="0"/>
          <w:kern w:val="0"/>
          <w:sz w:val="32"/>
          <w:szCs w:val="32"/>
          <w:lang w:val="en-US" w:eastAsia="zh-CN"/>
        </w:rPr>
        <w:t>参照《新疆维吾尔自治区新疆生产建设兵团交通运输行政处罚裁量权基准》第</w:t>
      </w:r>
      <w:r>
        <w:rPr>
          <w:rFonts w:hint="eastAsia" w:ascii="仿宋_GB2312" w:hAnsi="仿宋_GB2312" w:cs="仿宋_GB2312"/>
          <w:b w:val="0"/>
          <w:bCs w:val="0"/>
          <w:kern w:val="0"/>
          <w:sz w:val="32"/>
          <w:szCs w:val="32"/>
          <w:lang w:val="en-US" w:eastAsia="zh-CN"/>
        </w:rPr>
        <w:t>6</w:t>
      </w:r>
      <w:r>
        <w:rPr>
          <w:rFonts w:hint="eastAsia" w:ascii="仿宋_GB2312" w:hAnsi="仿宋_GB2312" w:cs="仿宋_GB2312"/>
          <w:b w:val="0"/>
          <w:bCs w:val="0"/>
          <w:kern w:val="0"/>
          <w:sz w:val="32"/>
          <w:szCs w:val="32"/>
          <w:highlight w:val="none"/>
          <w:lang w:val="en-US" w:eastAsia="zh-CN"/>
        </w:rPr>
        <w:t>5项的规定</w:t>
      </w:r>
      <w:r>
        <w:rPr>
          <w:rFonts w:hint="eastAsia" w:ascii="仿宋_GB2312" w:hAnsi="仿宋_GB2312" w:eastAsia="仿宋_GB2312" w:cs="仿宋_GB2312"/>
          <w:b w:val="0"/>
          <w:bCs w:val="0"/>
          <w:kern w:val="0"/>
          <w:sz w:val="32"/>
          <w:szCs w:val="32"/>
          <w:lang w:val="en-US" w:eastAsia="zh-CN"/>
        </w:rPr>
        <w:t>，</w:t>
      </w:r>
      <w:r>
        <w:rPr>
          <w:rFonts w:hint="eastAsia" w:ascii="仿宋_GB2312" w:hAnsi="仿宋_GB2312" w:cs="仿宋_GB2312"/>
          <w:b w:val="0"/>
          <w:bCs w:val="0"/>
          <w:kern w:val="0"/>
          <w:sz w:val="32"/>
          <w:szCs w:val="32"/>
          <w:lang w:val="en-US" w:eastAsia="zh-CN"/>
        </w:rPr>
        <w:t>该违法行为</w:t>
      </w:r>
      <w:r>
        <w:rPr>
          <w:rFonts w:hint="eastAsia" w:ascii="仿宋_GB2312" w:hAnsi="仿宋_GB2312" w:eastAsia="仿宋_GB2312" w:cs="仿宋_GB2312"/>
          <w:b w:val="0"/>
          <w:bCs w:val="0"/>
          <w:kern w:val="0"/>
          <w:sz w:val="32"/>
          <w:szCs w:val="32"/>
          <w:lang w:val="en-US" w:eastAsia="zh-CN"/>
        </w:rPr>
        <w:t>属于一般</w:t>
      </w:r>
      <w:r>
        <w:rPr>
          <w:rFonts w:hint="eastAsia" w:ascii="仿宋_GB2312" w:hAnsi="仿宋_GB2312" w:cs="仿宋_GB2312"/>
          <w:b w:val="0"/>
          <w:bCs w:val="0"/>
          <w:kern w:val="0"/>
          <w:sz w:val="32"/>
          <w:szCs w:val="32"/>
          <w:lang w:val="en-US" w:eastAsia="zh-CN"/>
        </w:rPr>
        <w:t>情形</w:t>
      </w:r>
      <w:r>
        <w:rPr>
          <w:rFonts w:hint="eastAsia" w:ascii="仿宋_GB2312" w:hAnsi="仿宋_GB2312" w:eastAsia="仿宋_GB2312" w:cs="仿宋_GB2312"/>
          <w:b w:val="0"/>
          <w:bCs w:val="0"/>
          <w:kern w:val="0"/>
          <w:sz w:val="32"/>
          <w:szCs w:val="32"/>
          <w:lang w:val="en-US" w:eastAsia="zh-CN"/>
        </w:rPr>
        <w:t>，可处1万元以下罚款。</w:t>
      </w:r>
    </w:p>
    <w:p w14:paraId="57B6156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处理结果</w:t>
      </w:r>
    </w:p>
    <w:p w14:paraId="27EC4AE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kern w:val="0"/>
          <w:sz w:val="32"/>
          <w:szCs w:val="32"/>
          <w:lang w:val="en-US" w:eastAsia="zh-CN" w:bidi="ar"/>
        </w:rPr>
        <w:t>十二师交通运输</w:t>
      </w:r>
      <w:r>
        <w:rPr>
          <w:rFonts w:hint="eastAsia" w:cs="Times New Roman"/>
          <w:color w:val="000000"/>
          <w:kern w:val="0"/>
          <w:sz w:val="32"/>
          <w:szCs w:val="32"/>
          <w:lang w:val="en-US" w:eastAsia="zh-CN" w:bidi="ar"/>
        </w:rPr>
        <w:t>局</w:t>
      </w:r>
      <w:r>
        <w:rPr>
          <w:rFonts w:hint="default" w:ascii="Times New Roman" w:hAnsi="Times New Roman" w:eastAsia="仿宋_GB2312" w:cs="Times New Roman"/>
          <w:color w:val="000000"/>
          <w:kern w:val="0"/>
          <w:sz w:val="32"/>
          <w:szCs w:val="32"/>
          <w:lang w:val="en-US" w:eastAsia="zh-CN" w:bidi="ar"/>
        </w:rPr>
        <w:t>依法对该公司作出罚款人民币捌仟元整（¥8000.00）的行政处罚。</w:t>
      </w:r>
    </w:p>
    <w:p w14:paraId="718D4E4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default" w:ascii="Times New Roman" w:hAnsi="Times New Roman" w:eastAsia="黑体" w:cs="Times New Roman"/>
          <w:b w:val="0"/>
          <w:bCs w:val="0"/>
          <w:color w:val="000000"/>
          <w:sz w:val="32"/>
          <w:szCs w:val="32"/>
          <w:lang w:val="en-US" w:eastAsia="zh-CN"/>
        </w:rPr>
      </w:pPr>
      <w:r>
        <w:rPr>
          <w:rFonts w:hint="default" w:ascii="Times New Roman" w:hAnsi="Times New Roman" w:eastAsia="黑体" w:cs="Times New Roman"/>
          <w:b w:val="0"/>
          <w:bCs w:val="0"/>
          <w:color w:val="000000"/>
          <w:sz w:val="32"/>
          <w:szCs w:val="32"/>
          <w:lang w:val="en-US" w:eastAsia="zh-CN"/>
        </w:rPr>
        <w:t>案例三：十二师某普货运输公司</w:t>
      </w:r>
      <w:r>
        <w:rPr>
          <w:rFonts w:hint="eastAsia" w:ascii="Times New Roman" w:hAnsi="Times New Roman" w:eastAsia="黑体" w:cs="Times New Roman"/>
          <w:b w:val="0"/>
          <w:bCs w:val="0"/>
          <w:color w:val="000000"/>
          <w:sz w:val="32"/>
          <w:szCs w:val="32"/>
          <w:lang w:val="en-US" w:eastAsia="zh-CN"/>
        </w:rPr>
        <w:t>未采取措施消除事故隐患</w:t>
      </w:r>
      <w:r>
        <w:rPr>
          <w:rFonts w:hint="default" w:ascii="Times New Roman" w:hAnsi="Times New Roman" w:eastAsia="黑体" w:cs="Times New Roman"/>
          <w:b w:val="0"/>
          <w:bCs w:val="0"/>
          <w:color w:val="000000"/>
          <w:sz w:val="32"/>
          <w:szCs w:val="32"/>
          <w:lang w:val="en-US" w:eastAsia="zh-CN"/>
        </w:rPr>
        <w:t>案</w:t>
      </w:r>
    </w:p>
    <w:p w14:paraId="7BF6830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基本案情</w:t>
      </w:r>
    </w:p>
    <w:p w14:paraId="7FC34E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kern w:val="0"/>
          <w:sz w:val="32"/>
          <w:szCs w:val="32"/>
          <w:lang w:val="en-US" w:eastAsia="zh-CN" w:bidi="ar"/>
        </w:rPr>
        <w:t>2026年6月</w:t>
      </w:r>
      <w:r>
        <w:rPr>
          <w:rFonts w:hint="eastAsia" w:cs="Times New Roman"/>
          <w:color w:val="000000"/>
          <w:kern w:val="0"/>
          <w:sz w:val="32"/>
          <w:szCs w:val="32"/>
          <w:lang w:val="en-US" w:eastAsia="zh-CN" w:bidi="ar"/>
        </w:rPr>
        <w:t>6日、6月8日</w:t>
      </w:r>
      <w:r>
        <w:rPr>
          <w:rFonts w:hint="default"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十二师交通运输综合行政执法</w:t>
      </w:r>
      <w:r>
        <w:rPr>
          <w:rFonts w:hint="default" w:ascii="Times New Roman" w:hAnsi="Times New Roman" w:eastAsia="仿宋_GB2312" w:cs="Times New Roman"/>
          <w:color w:val="000000"/>
          <w:kern w:val="0"/>
          <w:sz w:val="32"/>
          <w:szCs w:val="32"/>
          <w:lang w:val="en-US" w:eastAsia="zh-CN" w:bidi="ar"/>
        </w:rPr>
        <w:t>支队联合三坪垦区交警开展路警联合治超专项行动，现场查获该公司两</w:t>
      </w:r>
      <w:r>
        <w:rPr>
          <w:rFonts w:hint="eastAsia" w:cs="Times New Roman"/>
          <w:color w:val="000000"/>
          <w:kern w:val="0"/>
          <w:sz w:val="32"/>
          <w:szCs w:val="32"/>
          <w:lang w:val="en-US" w:eastAsia="zh-CN" w:bidi="ar"/>
        </w:rPr>
        <w:t>辆</w:t>
      </w:r>
      <w:r>
        <w:rPr>
          <w:rFonts w:hint="default" w:ascii="Times New Roman" w:hAnsi="Times New Roman" w:eastAsia="仿宋_GB2312" w:cs="Times New Roman"/>
          <w:color w:val="000000"/>
          <w:kern w:val="0"/>
          <w:sz w:val="32"/>
          <w:szCs w:val="32"/>
          <w:lang w:val="en-US" w:eastAsia="zh-CN" w:bidi="ar"/>
        </w:rPr>
        <w:t>重型自卸货车（号牌：新A</w:t>
      </w:r>
      <w:r>
        <w:rPr>
          <w:rFonts w:hint="eastAsia" w:cs="Times New Roman"/>
          <w:color w:val="000000"/>
          <w:kern w:val="0"/>
          <w:sz w:val="32"/>
          <w:szCs w:val="32"/>
          <w:lang w:val="en-US" w:eastAsia="zh-CN" w:bidi="ar"/>
        </w:rPr>
        <w:t>2</w:t>
      </w:r>
      <w:r>
        <w:rPr>
          <w:rFonts w:hint="default" w:ascii="Times New Roman" w:hAnsi="Times New Roman" w:eastAsia="仿宋_GB2312" w:cs="Times New Roman"/>
          <w:color w:val="000000"/>
          <w:kern w:val="0"/>
          <w:sz w:val="32"/>
          <w:szCs w:val="32"/>
          <w:lang w:val="en-US" w:eastAsia="zh-CN" w:bidi="ar"/>
        </w:rPr>
        <w:t>×××</w:t>
      </w:r>
      <w:r>
        <w:rPr>
          <w:rFonts w:hint="eastAsia" w:cs="Times New Roman"/>
          <w:color w:val="000000"/>
          <w:kern w:val="0"/>
          <w:sz w:val="32"/>
          <w:szCs w:val="32"/>
          <w:lang w:val="en-US" w:eastAsia="zh-CN" w:bidi="ar"/>
        </w:rPr>
        <w:t>9D</w:t>
      </w:r>
      <w:r>
        <w:rPr>
          <w:rFonts w:hint="default" w:ascii="Times New Roman" w:hAnsi="Times New Roman" w:eastAsia="仿宋_GB2312" w:cs="Times New Roman"/>
          <w:color w:val="000000"/>
          <w:kern w:val="0"/>
          <w:sz w:val="32"/>
          <w:szCs w:val="32"/>
          <w:lang w:val="en-US" w:eastAsia="zh-CN" w:bidi="ar"/>
        </w:rPr>
        <w:t>、新A</w:t>
      </w:r>
      <w:r>
        <w:rPr>
          <w:rFonts w:hint="eastAsia" w:cs="Times New Roman"/>
          <w:color w:val="000000"/>
          <w:kern w:val="0"/>
          <w:sz w:val="32"/>
          <w:szCs w:val="32"/>
          <w:lang w:val="en-US" w:eastAsia="zh-CN" w:bidi="ar"/>
        </w:rPr>
        <w:t>2</w:t>
      </w:r>
      <w:r>
        <w:rPr>
          <w:rFonts w:hint="default" w:ascii="Times New Roman" w:hAnsi="Times New Roman" w:eastAsia="仿宋_GB2312" w:cs="Times New Roman"/>
          <w:color w:val="000000"/>
          <w:kern w:val="0"/>
          <w:sz w:val="32"/>
          <w:szCs w:val="32"/>
          <w:lang w:val="en-US" w:eastAsia="zh-CN" w:bidi="ar"/>
        </w:rPr>
        <w:t>×××</w:t>
      </w:r>
      <w:r>
        <w:rPr>
          <w:rFonts w:hint="eastAsia" w:cs="Times New Roman"/>
          <w:color w:val="000000"/>
          <w:kern w:val="0"/>
          <w:sz w:val="32"/>
          <w:szCs w:val="32"/>
          <w:lang w:val="en-US" w:eastAsia="zh-CN" w:bidi="ar"/>
        </w:rPr>
        <w:t>8D</w:t>
      </w:r>
      <w:r>
        <w:rPr>
          <w:rFonts w:hint="default" w:ascii="Times New Roman" w:hAnsi="Times New Roman" w:eastAsia="仿宋_GB2312" w:cs="Times New Roman"/>
          <w:color w:val="000000"/>
          <w:kern w:val="0"/>
          <w:sz w:val="32"/>
          <w:szCs w:val="32"/>
          <w:lang w:val="en-US" w:eastAsia="zh-CN" w:bidi="ar"/>
        </w:rPr>
        <w:t>），私自加高货箱栏板，车辆外观与道路运输证备案信息不符，同时存在超载运输</w:t>
      </w:r>
      <w:r>
        <w:rPr>
          <w:rFonts w:hint="eastAsia" w:cs="Times New Roman"/>
          <w:color w:val="000000"/>
          <w:kern w:val="0"/>
          <w:sz w:val="32"/>
          <w:szCs w:val="32"/>
          <w:lang w:val="en-US" w:eastAsia="zh-CN" w:bidi="ar"/>
        </w:rPr>
        <w:t>的</w:t>
      </w:r>
      <w:r>
        <w:rPr>
          <w:rFonts w:hint="default" w:ascii="Times New Roman" w:hAnsi="Times New Roman" w:eastAsia="仿宋_GB2312" w:cs="Times New Roman"/>
          <w:color w:val="000000"/>
          <w:kern w:val="0"/>
          <w:sz w:val="32"/>
          <w:szCs w:val="32"/>
          <w:lang w:val="en-US" w:eastAsia="zh-CN" w:bidi="ar"/>
        </w:rPr>
        <w:t>违法行为。企业未落实车辆日常</w:t>
      </w:r>
      <w:r>
        <w:rPr>
          <w:rFonts w:hint="eastAsia" w:cs="Times New Roman"/>
          <w:color w:val="000000"/>
          <w:kern w:val="0"/>
          <w:sz w:val="32"/>
          <w:szCs w:val="32"/>
          <w:lang w:val="en-US" w:eastAsia="zh-CN" w:bidi="ar"/>
        </w:rPr>
        <w:t>隐患</w:t>
      </w:r>
      <w:r>
        <w:rPr>
          <w:rFonts w:hint="default" w:ascii="Times New Roman" w:hAnsi="Times New Roman" w:eastAsia="仿宋_GB2312" w:cs="Times New Roman"/>
          <w:color w:val="000000"/>
          <w:kern w:val="0"/>
          <w:sz w:val="32"/>
          <w:szCs w:val="32"/>
          <w:lang w:val="en-US" w:eastAsia="zh-CN" w:bidi="ar"/>
        </w:rPr>
        <w:t>排查制度，针对车辆改装、超载行驶等违法行为的</w:t>
      </w:r>
      <w:r>
        <w:rPr>
          <w:rFonts w:hint="eastAsia" w:ascii="Times New Roman" w:hAnsi="Times New Roman" w:eastAsia="仿宋_GB2312" w:cs="Times New Roman"/>
          <w:color w:val="000000"/>
          <w:kern w:val="0"/>
          <w:sz w:val="32"/>
          <w:szCs w:val="32"/>
          <w:lang w:val="en-US" w:eastAsia="zh-CN" w:bidi="ar"/>
        </w:rPr>
        <w:t>管控约束不到位</w:t>
      </w:r>
      <w:r>
        <w:rPr>
          <w:rFonts w:hint="default" w:ascii="Times New Roman" w:hAnsi="Times New Roman" w:eastAsia="仿宋_GB2312" w:cs="Times New Roman"/>
          <w:color w:val="000000"/>
          <w:kern w:val="0"/>
          <w:sz w:val="32"/>
          <w:szCs w:val="32"/>
          <w:lang w:val="en-US" w:eastAsia="zh-CN" w:bidi="ar"/>
        </w:rPr>
        <w:t>。</w:t>
      </w:r>
    </w:p>
    <w:p w14:paraId="5DC612C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法律依据</w:t>
      </w:r>
    </w:p>
    <w:p w14:paraId="406E677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cs="Times New Roman"/>
          <w:color w:val="000000"/>
          <w:sz w:val="32"/>
          <w:szCs w:val="32"/>
          <w:lang w:eastAsia="zh-CN"/>
        </w:rPr>
      </w:pPr>
      <w:r>
        <w:rPr>
          <w:rFonts w:hint="eastAsia" w:cs="Times New Roman"/>
          <w:color w:val="000000"/>
          <w:sz w:val="32"/>
          <w:szCs w:val="32"/>
          <w:lang w:val="en-US" w:eastAsia="zh-CN"/>
        </w:rPr>
        <w:t>该</w:t>
      </w:r>
      <w:r>
        <w:rPr>
          <w:rFonts w:hint="default" w:ascii="Times New Roman" w:hAnsi="Times New Roman" w:eastAsia="仿宋_GB2312" w:cs="Times New Roman"/>
          <w:color w:val="000000"/>
          <w:sz w:val="32"/>
          <w:szCs w:val="32"/>
        </w:rPr>
        <w:t>企业行为违反</w:t>
      </w:r>
      <w:r>
        <w:rPr>
          <w:rFonts w:hint="eastAsia" w:cs="Times New Roman"/>
          <w:color w:val="000000"/>
          <w:sz w:val="32"/>
          <w:szCs w:val="32"/>
          <w:lang w:val="en-US" w:eastAsia="zh-CN"/>
        </w:rPr>
        <w:t>了</w:t>
      </w:r>
      <w:r>
        <w:rPr>
          <w:rFonts w:hint="default" w:ascii="Times New Roman" w:hAnsi="Times New Roman" w:eastAsia="仿宋_GB2312" w:cs="Times New Roman"/>
          <w:color w:val="000000"/>
          <w:sz w:val="32"/>
          <w:szCs w:val="32"/>
        </w:rPr>
        <w:t>《中华人民共和国安全生产法》第四十一条第二款</w:t>
      </w:r>
      <w:r>
        <w:rPr>
          <w:rFonts w:hint="eastAsia" w:cs="Times New Roman"/>
          <w:color w:val="000000"/>
          <w:sz w:val="32"/>
          <w:szCs w:val="32"/>
          <w:highlight w:val="none"/>
          <w:lang w:eastAsia="zh-CN"/>
        </w:rPr>
        <w:t>：</w:t>
      </w:r>
      <w:r>
        <w:rPr>
          <w:rFonts w:hint="eastAsia" w:cs="Times New Roman"/>
          <w:color w:val="000000"/>
          <w:kern w:val="0"/>
          <w:sz w:val="32"/>
          <w:szCs w:val="32"/>
          <w:highlight w:val="none"/>
          <w:lang w:val="en-US" w:eastAsia="zh-CN" w:bidi="ar"/>
        </w:rPr>
        <w:t>“</w:t>
      </w:r>
      <w:r>
        <w:rPr>
          <w:rFonts w:hint="eastAsia" w:ascii="仿宋_GB2312" w:hAnsi="仿宋_GB2312" w:eastAsia="仿宋_GB2312" w:cs="仿宋_GB2312"/>
          <w:b w:val="0"/>
          <w:bCs w:val="0"/>
          <w:kern w:val="0"/>
          <w:sz w:val="32"/>
          <w:szCs w:val="32"/>
          <w:highlight w:val="none"/>
          <w:lang w:val="en-US" w:eastAsia="zh-CN"/>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r>
        <w:rPr>
          <w:rFonts w:hint="eastAsia" w:ascii="仿宋_GB2312" w:hAnsi="仿宋_GB2312" w:cs="仿宋_GB2312"/>
          <w:b w:val="0"/>
          <w:bCs w:val="0"/>
          <w:kern w:val="0"/>
          <w:sz w:val="32"/>
          <w:szCs w:val="32"/>
          <w:highlight w:val="none"/>
          <w:lang w:val="en-US" w:eastAsia="zh-CN"/>
        </w:rPr>
        <w:t>”</w:t>
      </w:r>
      <w:r>
        <w:rPr>
          <w:rFonts w:hint="eastAsia" w:cs="Times New Roman"/>
          <w:color w:val="auto"/>
          <w:sz w:val="32"/>
          <w:szCs w:val="32"/>
          <w:highlight w:val="none"/>
          <w:lang w:val="en-US" w:eastAsia="zh-CN"/>
        </w:rPr>
        <w:t>的规定</w:t>
      </w:r>
      <w:r>
        <w:rPr>
          <w:rFonts w:hint="default" w:ascii="Times New Roman" w:hAnsi="Times New Roman" w:eastAsia="仿宋_GB2312" w:cs="Times New Roman"/>
          <w:color w:val="000000"/>
          <w:sz w:val="32"/>
          <w:szCs w:val="32"/>
        </w:rPr>
        <w:t>。</w:t>
      </w:r>
    </w:p>
    <w:p w14:paraId="72785A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依据《中华人民共和国安全生产法》第一百零二条</w:t>
      </w:r>
      <w:r>
        <w:rPr>
          <w:rFonts w:hint="eastAsia" w:ascii="Times New Roman" w:hAnsi="Times New Roman" w:eastAsia="仿宋_GB2312" w:cs="仿宋_GB2312"/>
          <w:snapToGrid/>
          <w:color w:val="auto"/>
          <w:spacing w:val="-6"/>
          <w:kern w:val="0"/>
          <w:sz w:val="32"/>
          <w:szCs w:val="32"/>
          <w:lang w:val="en-US" w:eastAsia="zh-CN"/>
        </w:rPr>
        <w:t>“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r>
        <w:rPr>
          <w:rFonts w:hint="eastAsia" w:ascii="Times New Roman" w:hAnsi="Times New Roman" w:cs="仿宋_GB2312"/>
          <w:snapToGrid/>
          <w:color w:val="auto"/>
          <w:spacing w:val="-6"/>
          <w:kern w:val="0"/>
          <w:sz w:val="32"/>
          <w:szCs w:val="32"/>
          <w:lang w:val="en-US" w:eastAsia="zh-CN"/>
        </w:rPr>
        <w:t>，</w:t>
      </w:r>
      <w:r>
        <w:rPr>
          <w:rFonts w:hint="eastAsia" w:ascii="仿宋_GB2312" w:hAnsi="仿宋_GB2312" w:eastAsia="仿宋_GB2312" w:cs="仿宋_GB2312"/>
          <w:b w:val="0"/>
          <w:bCs w:val="0"/>
          <w:kern w:val="0"/>
          <w:sz w:val="32"/>
          <w:szCs w:val="32"/>
          <w:lang w:val="en-US" w:eastAsia="zh-CN"/>
        </w:rPr>
        <w:t>参照《新疆维吾尔自治区新疆生产建设兵团交通运输行政处罚裁量权基准》</w:t>
      </w:r>
      <w:r>
        <w:rPr>
          <w:rFonts w:hint="eastAsia" w:ascii="仿宋_GB2312" w:hAnsi="仿宋_GB2312" w:eastAsia="仿宋_GB2312" w:cs="仿宋_GB2312"/>
          <w:b w:val="0"/>
          <w:bCs w:val="0"/>
          <w:kern w:val="0"/>
          <w:sz w:val="32"/>
          <w:szCs w:val="32"/>
          <w:highlight w:val="none"/>
          <w:lang w:val="en-US" w:eastAsia="zh-CN"/>
        </w:rPr>
        <w:t>第</w:t>
      </w:r>
      <w:r>
        <w:rPr>
          <w:rFonts w:hint="eastAsia" w:ascii="仿宋_GB2312" w:hAnsi="仿宋_GB2312" w:cs="仿宋_GB2312"/>
          <w:b w:val="0"/>
          <w:bCs w:val="0"/>
          <w:kern w:val="0"/>
          <w:sz w:val="32"/>
          <w:szCs w:val="32"/>
          <w:highlight w:val="none"/>
          <w:lang w:val="en-US" w:eastAsia="zh-CN"/>
        </w:rPr>
        <w:t>65项的规定</w:t>
      </w:r>
      <w:r>
        <w:rPr>
          <w:rFonts w:hint="eastAsia" w:ascii="仿宋_GB2312" w:hAnsi="仿宋_GB2312" w:eastAsia="仿宋_GB2312" w:cs="仿宋_GB2312"/>
          <w:b w:val="0"/>
          <w:bCs w:val="0"/>
          <w:kern w:val="0"/>
          <w:sz w:val="32"/>
          <w:szCs w:val="32"/>
          <w:lang w:val="en-US" w:eastAsia="zh-CN"/>
        </w:rPr>
        <w:t>，</w:t>
      </w:r>
      <w:r>
        <w:rPr>
          <w:rFonts w:hint="eastAsia" w:ascii="仿宋_GB2312" w:hAnsi="仿宋_GB2312" w:cs="仿宋_GB2312"/>
          <w:b w:val="0"/>
          <w:bCs w:val="0"/>
          <w:kern w:val="0"/>
          <w:sz w:val="32"/>
          <w:szCs w:val="32"/>
          <w:lang w:val="en-US" w:eastAsia="zh-CN"/>
        </w:rPr>
        <w:t>该违法行为</w:t>
      </w:r>
      <w:r>
        <w:rPr>
          <w:rFonts w:hint="eastAsia" w:ascii="仿宋_GB2312" w:hAnsi="仿宋_GB2312" w:eastAsia="仿宋_GB2312" w:cs="仿宋_GB2312"/>
          <w:b w:val="0"/>
          <w:bCs w:val="0"/>
          <w:kern w:val="0"/>
          <w:sz w:val="32"/>
          <w:szCs w:val="32"/>
          <w:lang w:val="en-US" w:eastAsia="zh-CN"/>
        </w:rPr>
        <w:t>属于一般</w:t>
      </w:r>
      <w:r>
        <w:rPr>
          <w:rFonts w:hint="eastAsia" w:ascii="仿宋_GB2312" w:hAnsi="仿宋_GB2312" w:cs="仿宋_GB2312"/>
          <w:b w:val="0"/>
          <w:bCs w:val="0"/>
          <w:kern w:val="0"/>
          <w:sz w:val="32"/>
          <w:szCs w:val="32"/>
          <w:lang w:val="en-US" w:eastAsia="zh-CN"/>
        </w:rPr>
        <w:t>情形</w:t>
      </w:r>
      <w:r>
        <w:rPr>
          <w:rFonts w:hint="eastAsia" w:ascii="仿宋_GB2312" w:hAnsi="仿宋_GB2312" w:eastAsia="仿宋_GB2312" w:cs="仿宋_GB2312"/>
          <w:b w:val="0"/>
          <w:bCs w:val="0"/>
          <w:kern w:val="0"/>
          <w:sz w:val="32"/>
          <w:szCs w:val="32"/>
          <w:lang w:val="en-US" w:eastAsia="zh-CN"/>
        </w:rPr>
        <w:t>，可处1万元以下罚款。</w:t>
      </w:r>
    </w:p>
    <w:p w14:paraId="2111E5A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处理结果</w:t>
      </w:r>
    </w:p>
    <w:p w14:paraId="3F9E90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kern w:val="0"/>
          <w:sz w:val="32"/>
          <w:szCs w:val="32"/>
          <w:lang w:val="en-US" w:eastAsia="zh-CN" w:bidi="ar"/>
        </w:rPr>
        <w:t>十二师交通运输</w:t>
      </w:r>
      <w:r>
        <w:rPr>
          <w:rFonts w:hint="eastAsia" w:cs="Times New Roman"/>
          <w:color w:val="000000"/>
          <w:kern w:val="0"/>
          <w:sz w:val="32"/>
          <w:szCs w:val="32"/>
          <w:lang w:val="en-US" w:eastAsia="zh-CN" w:bidi="ar"/>
        </w:rPr>
        <w:t>局</w:t>
      </w:r>
      <w:r>
        <w:rPr>
          <w:rFonts w:hint="default" w:ascii="Times New Roman" w:hAnsi="Times New Roman" w:eastAsia="仿宋_GB2312" w:cs="Times New Roman"/>
          <w:color w:val="000000"/>
          <w:kern w:val="0"/>
          <w:sz w:val="32"/>
          <w:szCs w:val="32"/>
          <w:lang w:val="en-US" w:eastAsia="zh-CN" w:bidi="ar"/>
        </w:rPr>
        <w:t>依法对</w:t>
      </w:r>
      <w:r>
        <w:rPr>
          <w:rFonts w:hint="eastAsia" w:cs="Times New Roman"/>
          <w:color w:val="000000"/>
          <w:kern w:val="0"/>
          <w:sz w:val="32"/>
          <w:szCs w:val="32"/>
          <w:lang w:val="en-US" w:eastAsia="zh-CN" w:bidi="ar"/>
        </w:rPr>
        <w:t>该</w:t>
      </w:r>
      <w:r>
        <w:rPr>
          <w:rFonts w:hint="default" w:ascii="Times New Roman" w:hAnsi="Times New Roman" w:eastAsia="仿宋_GB2312" w:cs="Times New Roman"/>
          <w:color w:val="000000"/>
          <w:kern w:val="0"/>
          <w:sz w:val="32"/>
          <w:szCs w:val="32"/>
          <w:lang w:val="en-US" w:eastAsia="zh-CN" w:bidi="ar"/>
        </w:rPr>
        <w:t>公司作出罚款人民币捌仟元整（¥8000.00）的行政处罚。</w:t>
      </w:r>
    </w:p>
    <w:p w14:paraId="435870C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default" w:ascii="Times New Roman" w:hAnsi="Times New Roman" w:eastAsia="黑体" w:cs="Times New Roman"/>
          <w:b w:val="0"/>
          <w:bCs w:val="0"/>
          <w:color w:val="000000"/>
          <w:sz w:val="32"/>
          <w:szCs w:val="32"/>
          <w:lang w:val="en-US" w:eastAsia="zh-CN"/>
        </w:rPr>
      </w:pPr>
      <w:r>
        <w:rPr>
          <w:rFonts w:hint="default" w:ascii="Times New Roman" w:hAnsi="Times New Roman" w:eastAsia="黑体" w:cs="Times New Roman"/>
          <w:b w:val="0"/>
          <w:bCs w:val="0"/>
          <w:color w:val="000000"/>
          <w:sz w:val="32"/>
          <w:szCs w:val="32"/>
          <w:lang w:val="en-US" w:eastAsia="zh-CN"/>
        </w:rPr>
        <w:t>案例四：公主岭市某物流公司为擅自改变已登记的结构、构造或者特征的货运车辆装载、配载货物案</w:t>
      </w:r>
    </w:p>
    <w:p w14:paraId="0C93AA5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基本案情</w:t>
      </w:r>
    </w:p>
    <w:p w14:paraId="462655B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kern w:val="0"/>
          <w:sz w:val="32"/>
          <w:szCs w:val="32"/>
          <w:lang w:val="en-US" w:eastAsia="zh-CN" w:bidi="ar"/>
        </w:rPr>
        <w:t>2025年10月30日，</w:t>
      </w:r>
      <w:r>
        <w:rPr>
          <w:rFonts w:hint="default" w:ascii="Times New Roman" w:hAnsi="Times New Roman" w:eastAsia="仿宋_GB2312" w:cs="Times New Roman"/>
          <w:color w:val="000000"/>
          <w:kern w:val="0"/>
          <w:sz w:val="32"/>
          <w:szCs w:val="32"/>
          <w:highlight w:val="none"/>
          <w:lang w:val="en-US" w:eastAsia="zh-CN" w:bidi="ar"/>
        </w:rPr>
        <w:t>十二师交通运输综合行政执法</w:t>
      </w:r>
      <w:r>
        <w:rPr>
          <w:rFonts w:hint="default" w:ascii="Times New Roman" w:hAnsi="Times New Roman" w:eastAsia="仿宋_GB2312" w:cs="Times New Roman"/>
          <w:color w:val="000000"/>
          <w:kern w:val="0"/>
          <w:sz w:val="32"/>
          <w:szCs w:val="32"/>
          <w:lang w:val="en-US" w:eastAsia="zh-CN" w:bidi="ar"/>
        </w:rPr>
        <w:t>支队</w:t>
      </w:r>
      <w:r>
        <w:rPr>
          <w:rFonts w:hint="eastAsia" w:cs="Times New Roman"/>
          <w:color w:val="000000"/>
          <w:kern w:val="0"/>
          <w:sz w:val="32"/>
          <w:szCs w:val="32"/>
          <w:lang w:val="en-US" w:eastAsia="zh-CN" w:bidi="ar"/>
        </w:rPr>
        <w:t>在</w:t>
      </w:r>
      <w:r>
        <w:rPr>
          <w:rFonts w:hint="default" w:ascii="Times New Roman" w:hAnsi="Times New Roman" w:eastAsia="仿宋_GB2312" w:cs="Times New Roman"/>
          <w:color w:val="000000"/>
          <w:kern w:val="0"/>
          <w:sz w:val="32"/>
          <w:szCs w:val="32"/>
          <w:lang w:val="en-US" w:eastAsia="zh-CN" w:bidi="ar"/>
        </w:rPr>
        <w:t>路面巡查</w:t>
      </w:r>
      <w:r>
        <w:rPr>
          <w:rFonts w:hint="eastAsia" w:cs="Times New Roman"/>
          <w:color w:val="000000"/>
          <w:kern w:val="0"/>
          <w:sz w:val="32"/>
          <w:szCs w:val="32"/>
          <w:lang w:val="en-US" w:eastAsia="zh-CN" w:bidi="ar"/>
        </w:rPr>
        <w:t>时</w:t>
      </w:r>
      <w:r>
        <w:rPr>
          <w:rFonts w:hint="default" w:ascii="Times New Roman" w:hAnsi="Times New Roman" w:eastAsia="仿宋_GB2312" w:cs="Times New Roman"/>
          <w:color w:val="000000"/>
          <w:kern w:val="0"/>
          <w:sz w:val="32"/>
          <w:szCs w:val="32"/>
          <w:lang w:val="en-US" w:eastAsia="zh-CN" w:bidi="ar"/>
        </w:rPr>
        <w:t>查获一台超长改装商品车运输挂车，整车总长38.5米，违规装载14台乘用车。执法人员溯源排查该</w:t>
      </w:r>
      <w:r>
        <w:rPr>
          <w:rFonts w:hint="eastAsia" w:cs="Times New Roman"/>
          <w:color w:val="000000"/>
          <w:kern w:val="0"/>
          <w:sz w:val="32"/>
          <w:szCs w:val="32"/>
          <w:lang w:val="en-US" w:eastAsia="zh-CN" w:bidi="ar"/>
        </w:rPr>
        <w:t>企业</w:t>
      </w:r>
      <w:r>
        <w:rPr>
          <w:rFonts w:hint="default" w:ascii="Times New Roman" w:hAnsi="Times New Roman" w:eastAsia="仿宋_GB2312" w:cs="Times New Roman"/>
          <w:color w:val="000000"/>
          <w:kern w:val="0"/>
          <w:sz w:val="32"/>
          <w:szCs w:val="32"/>
          <w:lang w:val="en-US" w:eastAsia="zh-CN" w:bidi="ar"/>
        </w:rPr>
        <w:t>，该企业明知车辆属于非法改装，仍在自有货运停车场违规配载装车，源头货物装载环节管控措施未有效落实。</w:t>
      </w:r>
    </w:p>
    <w:p w14:paraId="3E76D87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法律依据</w:t>
      </w:r>
    </w:p>
    <w:p w14:paraId="7B7AC87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default" w:ascii="Times New Roman" w:hAnsi="Times New Roman" w:eastAsia="仿宋_GB2312" w:cs="Times New Roman"/>
          <w:color w:val="000000"/>
          <w:kern w:val="0"/>
          <w:sz w:val="32"/>
          <w:szCs w:val="32"/>
          <w:highlight w:val="none"/>
          <w:lang w:val="en-US" w:eastAsia="zh-CN" w:bidi="ar"/>
        </w:rPr>
      </w:pPr>
      <w:r>
        <w:rPr>
          <w:rFonts w:hint="eastAsia" w:cs="Times New Roman"/>
          <w:color w:val="000000"/>
          <w:kern w:val="0"/>
          <w:sz w:val="32"/>
          <w:szCs w:val="32"/>
          <w:lang w:val="en-US" w:eastAsia="zh-CN" w:bidi="ar"/>
        </w:rPr>
        <w:t>该</w:t>
      </w:r>
      <w:r>
        <w:rPr>
          <w:rFonts w:hint="default" w:ascii="Times New Roman" w:hAnsi="Times New Roman" w:eastAsia="仿宋_GB2312" w:cs="Times New Roman"/>
          <w:color w:val="000000"/>
          <w:kern w:val="0"/>
          <w:sz w:val="32"/>
          <w:szCs w:val="32"/>
          <w:lang w:val="en-US" w:eastAsia="zh-CN" w:bidi="ar"/>
        </w:rPr>
        <w:t>企业行为违反</w:t>
      </w:r>
      <w:r>
        <w:rPr>
          <w:rFonts w:hint="eastAsia" w:cs="Times New Roman"/>
          <w:color w:val="000000"/>
          <w:kern w:val="0"/>
          <w:sz w:val="32"/>
          <w:szCs w:val="32"/>
          <w:lang w:val="en-US" w:eastAsia="zh-CN" w:bidi="ar"/>
        </w:rPr>
        <w:t>了</w:t>
      </w:r>
      <w:r>
        <w:rPr>
          <w:rFonts w:hint="default" w:ascii="Times New Roman" w:hAnsi="Times New Roman" w:eastAsia="仿宋_GB2312" w:cs="Times New Roman"/>
          <w:color w:val="000000"/>
          <w:kern w:val="0"/>
          <w:sz w:val="32"/>
          <w:szCs w:val="32"/>
          <w:lang w:val="en-US" w:eastAsia="zh-CN" w:bidi="ar"/>
        </w:rPr>
        <w:t>《新疆维吾尔自治区货物运输车辆超限超载治理办法》</w:t>
      </w:r>
      <w:r>
        <w:rPr>
          <w:rFonts w:hint="eastAsia" w:cs="Times New Roman"/>
          <w:color w:val="000000"/>
          <w:kern w:val="0"/>
          <w:sz w:val="32"/>
          <w:szCs w:val="32"/>
          <w:highlight w:val="none"/>
          <w:lang w:val="en-US" w:eastAsia="zh-CN" w:bidi="ar"/>
        </w:rPr>
        <w:t>第二十一条第三项：“货运源头单位不得实施下列行为：（三）为擅自改变已登记的结构、构造或者特征的货运车辆装载、配载货物”的</w:t>
      </w:r>
      <w:r>
        <w:rPr>
          <w:rFonts w:hint="default" w:ascii="Times New Roman" w:hAnsi="Times New Roman" w:eastAsia="仿宋_GB2312" w:cs="Times New Roman"/>
          <w:color w:val="000000"/>
          <w:kern w:val="0"/>
          <w:sz w:val="32"/>
          <w:szCs w:val="32"/>
          <w:highlight w:val="none"/>
          <w:lang w:val="en-US" w:eastAsia="zh-CN" w:bidi="ar"/>
        </w:rPr>
        <w:t>规定。</w:t>
      </w:r>
    </w:p>
    <w:p w14:paraId="2FBC19C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default" w:ascii="Times New Roman" w:hAnsi="Times New Roman" w:eastAsia="仿宋_GB2312" w:cs="Times New Roman"/>
          <w:color w:val="000000"/>
          <w:sz w:val="32"/>
          <w:szCs w:val="32"/>
          <w:highlight w:val="none"/>
          <w:lang w:val="en-US"/>
        </w:rPr>
      </w:pPr>
      <w:r>
        <w:rPr>
          <w:rFonts w:hint="eastAsia" w:cs="Times New Roman"/>
          <w:color w:val="000000"/>
          <w:kern w:val="0"/>
          <w:sz w:val="32"/>
          <w:szCs w:val="32"/>
          <w:highlight w:val="none"/>
          <w:lang w:val="en-US" w:eastAsia="zh-CN" w:bidi="ar"/>
        </w:rPr>
        <w:t>依据</w:t>
      </w:r>
      <w:r>
        <w:rPr>
          <w:rFonts w:hint="default" w:ascii="Times New Roman" w:hAnsi="Times New Roman" w:eastAsia="仿宋_GB2312" w:cs="Times New Roman"/>
          <w:color w:val="000000"/>
          <w:kern w:val="0"/>
          <w:sz w:val="32"/>
          <w:szCs w:val="32"/>
          <w:highlight w:val="none"/>
          <w:lang w:val="en-US" w:eastAsia="zh-CN" w:bidi="ar"/>
        </w:rPr>
        <w:t>《新疆维吾尔自治区货物运输车辆超限超载治理办法》</w:t>
      </w:r>
      <w:r>
        <w:rPr>
          <w:rFonts w:hint="eastAsia" w:ascii="Times New Roman" w:hAnsi="Times New Roman" w:cs="Times New Roman"/>
          <w:color w:val="000000"/>
          <w:kern w:val="0"/>
          <w:sz w:val="32"/>
          <w:szCs w:val="32"/>
          <w:highlight w:val="none"/>
          <w:lang w:val="en-US" w:eastAsia="zh-CN" w:bidi="ar"/>
        </w:rPr>
        <w:t>第三十八条：“违法本办法第二十一条规定的，由道路运输管理机构处1万元以上3万元以下罚款。”，参照</w:t>
      </w:r>
      <w:r>
        <w:rPr>
          <w:rFonts w:hint="eastAsia" w:ascii="仿宋_GB2312" w:hAnsi="仿宋_GB2312" w:eastAsia="仿宋_GB2312" w:cs="仿宋_GB2312"/>
          <w:b w:val="0"/>
          <w:bCs w:val="0"/>
          <w:kern w:val="0"/>
          <w:sz w:val="32"/>
          <w:szCs w:val="32"/>
          <w:highlight w:val="none"/>
          <w:lang w:val="en-US" w:eastAsia="zh-CN"/>
        </w:rPr>
        <w:t>《新疆维吾尔自治区新疆生产建设兵团交通运输行政处罚裁量权基准》</w:t>
      </w:r>
      <w:r>
        <w:rPr>
          <w:rFonts w:hint="eastAsia" w:ascii="仿宋_GB2312" w:hAnsi="仿宋_GB2312" w:cs="仿宋_GB2312"/>
          <w:b w:val="0"/>
          <w:bCs w:val="0"/>
          <w:kern w:val="0"/>
          <w:sz w:val="32"/>
          <w:szCs w:val="32"/>
          <w:highlight w:val="none"/>
          <w:lang w:val="en-US" w:eastAsia="zh-CN"/>
        </w:rPr>
        <w:t>第101项的规定，该违法行为属一般情形，可处1万元罚款。</w:t>
      </w:r>
    </w:p>
    <w:p w14:paraId="66E37CC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处理结果</w:t>
      </w:r>
    </w:p>
    <w:p w14:paraId="1C4C6C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kern w:val="0"/>
          <w:sz w:val="32"/>
          <w:szCs w:val="32"/>
          <w:lang w:val="en-US" w:eastAsia="zh-CN" w:bidi="ar"/>
        </w:rPr>
        <w:t>十二师交通运输</w:t>
      </w:r>
      <w:r>
        <w:rPr>
          <w:rFonts w:hint="eastAsia" w:cs="Times New Roman"/>
          <w:color w:val="000000"/>
          <w:kern w:val="0"/>
          <w:sz w:val="32"/>
          <w:szCs w:val="32"/>
          <w:lang w:val="en-US" w:eastAsia="zh-CN" w:bidi="ar"/>
        </w:rPr>
        <w:t>局</w:t>
      </w:r>
      <w:r>
        <w:rPr>
          <w:rFonts w:hint="default" w:ascii="Times New Roman" w:hAnsi="Times New Roman" w:eastAsia="仿宋_GB2312" w:cs="Times New Roman"/>
          <w:color w:val="000000"/>
          <w:kern w:val="0"/>
          <w:sz w:val="32"/>
          <w:szCs w:val="32"/>
          <w:lang w:val="en-US" w:eastAsia="zh-CN" w:bidi="ar"/>
        </w:rPr>
        <w:t>依法对该物流</w:t>
      </w:r>
      <w:r>
        <w:rPr>
          <w:rFonts w:hint="eastAsia" w:cs="Times New Roman"/>
          <w:color w:val="000000"/>
          <w:kern w:val="0"/>
          <w:sz w:val="32"/>
          <w:szCs w:val="32"/>
          <w:lang w:val="en-US" w:eastAsia="zh-CN" w:bidi="ar"/>
        </w:rPr>
        <w:t>企业</w:t>
      </w:r>
      <w:r>
        <w:rPr>
          <w:rFonts w:hint="default" w:ascii="Times New Roman" w:hAnsi="Times New Roman" w:eastAsia="仿宋_GB2312" w:cs="Times New Roman"/>
          <w:color w:val="000000"/>
          <w:kern w:val="0"/>
          <w:sz w:val="32"/>
          <w:szCs w:val="32"/>
          <w:lang w:val="en-US" w:eastAsia="zh-CN" w:bidi="ar"/>
        </w:rPr>
        <w:t>作出罚款人民币壹万元整（¥10000.00）的行政处罚。</w:t>
      </w:r>
    </w:p>
    <w:p w14:paraId="62EA882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default" w:ascii="Times New Roman" w:hAnsi="Times New Roman" w:eastAsia="黑体" w:cs="Times New Roman"/>
          <w:b w:val="0"/>
          <w:bCs w:val="0"/>
          <w:color w:val="000000"/>
          <w:sz w:val="32"/>
          <w:szCs w:val="32"/>
          <w:lang w:val="en-US" w:eastAsia="zh-CN"/>
        </w:rPr>
      </w:pPr>
      <w:r>
        <w:rPr>
          <w:rFonts w:hint="default" w:ascii="Times New Roman" w:hAnsi="Times New Roman" w:eastAsia="黑体" w:cs="Times New Roman"/>
          <w:b w:val="0"/>
          <w:bCs w:val="0"/>
          <w:color w:val="000000"/>
          <w:sz w:val="32"/>
          <w:szCs w:val="32"/>
          <w:lang w:val="en-US" w:eastAsia="zh-CN"/>
        </w:rPr>
        <w:t>案例五：临夏州某物流公司未取得道路危险货物运输许可，擅自从事道路危险货物运输案</w:t>
      </w:r>
    </w:p>
    <w:p w14:paraId="59D5177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基本案情</w:t>
      </w:r>
    </w:p>
    <w:p w14:paraId="3DE26E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default" w:ascii="Times New Roman" w:hAnsi="Times New Roman" w:eastAsia="仿宋_GB2312" w:cs="Times New Roman"/>
          <w:color w:val="000000"/>
          <w:sz w:val="32"/>
          <w:szCs w:val="32"/>
        </w:rPr>
      </w:pPr>
      <w:r>
        <w:rPr>
          <w:rFonts w:hint="eastAsia" w:cs="Times New Roman"/>
          <w:color w:val="000000"/>
          <w:kern w:val="0"/>
          <w:sz w:val="32"/>
          <w:szCs w:val="32"/>
          <w:lang w:val="en-US" w:eastAsia="zh-CN" w:bidi="ar"/>
        </w:rPr>
        <w:t>2025年09月30日，</w:t>
      </w:r>
      <w:r>
        <w:rPr>
          <w:rFonts w:hint="default" w:ascii="Times New Roman" w:hAnsi="Times New Roman" w:eastAsia="仿宋_GB2312" w:cs="Times New Roman"/>
          <w:color w:val="000000"/>
          <w:kern w:val="0"/>
          <w:sz w:val="32"/>
          <w:szCs w:val="32"/>
          <w:lang w:val="en-US" w:eastAsia="zh-CN" w:bidi="ar"/>
        </w:rPr>
        <w:t>十二师交通运输综合行政执法支队在九鼎国际食品城开展路面检查时，现场查获临夏州某物流公司</w:t>
      </w:r>
      <w:r>
        <w:rPr>
          <w:rFonts w:hint="eastAsia" w:cs="Times New Roman"/>
          <w:color w:val="000000"/>
          <w:kern w:val="0"/>
          <w:sz w:val="32"/>
          <w:szCs w:val="32"/>
          <w:lang w:val="en-US" w:eastAsia="zh-CN" w:bidi="ar"/>
        </w:rPr>
        <w:t>车辆</w:t>
      </w:r>
      <w:r>
        <w:rPr>
          <w:rFonts w:hint="default" w:ascii="Times New Roman" w:hAnsi="Times New Roman" w:eastAsia="仿宋_GB2312" w:cs="Times New Roman"/>
          <w:color w:val="000000"/>
          <w:kern w:val="0"/>
          <w:sz w:val="32"/>
          <w:szCs w:val="32"/>
          <w:lang w:val="en-US" w:eastAsia="zh-CN" w:bidi="ar"/>
        </w:rPr>
        <w:t>（号牌：甘N×××</w:t>
      </w:r>
      <w:r>
        <w:rPr>
          <w:rFonts w:hint="eastAsia" w:cs="Times New Roman"/>
          <w:color w:val="000000"/>
          <w:kern w:val="0"/>
          <w:sz w:val="32"/>
          <w:szCs w:val="32"/>
          <w:lang w:val="en-US" w:eastAsia="zh-CN" w:bidi="ar"/>
        </w:rPr>
        <w:t>52、鲁 NXX2P超</w:t>
      </w:r>
      <w:r>
        <w:rPr>
          <w:rFonts w:hint="default" w:ascii="Times New Roman" w:hAnsi="Times New Roman" w:eastAsia="仿宋_GB2312" w:cs="Times New Roman"/>
          <w:color w:val="000000"/>
          <w:kern w:val="0"/>
          <w:sz w:val="32"/>
          <w:szCs w:val="32"/>
          <w:lang w:val="en-US" w:eastAsia="zh-CN" w:bidi="ar"/>
        </w:rPr>
        <w:t>）违规装载73个工业气瓶，其中包含3个易燃易爆乙炔瓶，其余为惰性气体。经查实该企业未取得道路危险货物运输经营许可，擅自承运危险气体，车辆无危运配套安全设施、无专业押运人员随车作业，对沿线道路公共安全构成风险隐患。</w:t>
      </w:r>
    </w:p>
    <w:p w14:paraId="53D9A08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法律依据</w:t>
      </w:r>
    </w:p>
    <w:p w14:paraId="5611DBD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default" w:ascii="Times New Roman" w:hAnsi="Times New Roman" w:eastAsia="仿宋_GB2312" w:cs="Times New Roman"/>
          <w:color w:val="000000"/>
          <w:kern w:val="0"/>
          <w:sz w:val="32"/>
          <w:szCs w:val="32"/>
          <w:highlight w:val="none"/>
          <w:lang w:val="en-US" w:eastAsia="zh-CN" w:bidi="ar"/>
        </w:rPr>
      </w:pPr>
      <w:r>
        <w:rPr>
          <w:rFonts w:hint="eastAsia" w:cs="Times New Roman"/>
          <w:color w:val="000000"/>
          <w:kern w:val="0"/>
          <w:sz w:val="32"/>
          <w:szCs w:val="32"/>
          <w:highlight w:val="none"/>
          <w:lang w:val="en-US" w:eastAsia="zh-CN" w:bidi="ar"/>
        </w:rPr>
        <w:t>该</w:t>
      </w:r>
      <w:r>
        <w:rPr>
          <w:rFonts w:hint="default" w:ascii="Times New Roman" w:hAnsi="Times New Roman" w:eastAsia="仿宋_GB2312" w:cs="Times New Roman"/>
          <w:color w:val="000000"/>
          <w:kern w:val="0"/>
          <w:sz w:val="32"/>
          <w:szCs w:val="32"/>
          <w:highlight w:val="none"/>
          <w:lang w:val="en-US" w:eastAsia="zh-CN" w:bidi="ar"/>
        </w:rPr>
        <w:t>企业行为违反</w:t>
      </w:r>
      <w:r>
        <w:rPr>
          <w:rFonts w:hint="eastAsia" w:cs="Times New Roman"/>
          <w:color w:val="000000"/>
          <w:kern w:val="0"/>
          <w:sz w:val="32"/>
          <w:szCs w:val="32"/>
          <w:highlight w:val="none"/>
          <w:lang w:val="en-US" w:eastAsia="zh-CN" w:bidi="ar"/>
        </w:rPr>
        <w:t>了</w:t>
      </w:r>
      <w:r>
        <w:rPr>
          <w:rFonts w:hint="default" w:ascii="Times New Roman" w:hAnsi="Times New Roman" w:eastAsia="仿宋_GB2312" w:cs="Times New Roman"/>
          <w:color w:val="000000"/>
          <w:kern w:val="0"/>
          <w:sz w:val="32"/>
          <w:szCs w:val="32"/>
          <w:highlight w:val="none"/>
          <w:lang w:val="en-US" w:eastAsia="zh-CN" w:bidi="ar"/>
        </w:rPr>
        <w:t>《中华人民共和国道路运输条例》第二十三条</w:t>
      </w:r>
      <w:r>
        <w:rPr>
          <w:rFonts w:hint="eastAsia" w:cs="Times New Roman"/>
          <w:color w:val="000000"/>
          <w:kern w:val="0"/>
          <w:sz w:val="32"/>
          <w:szCs w:val="32"/>
          <w:highlight w:val="none"/>
          <w:lang w:val="en-US" w:eastAsia="zh-CN" w:bidi="ar"/>
        </w:rPr>
        <w:t>：“申请从事危险货物运输经营的，应当具备下列条件：（一）有5辆以上经检测合格的危险货物运输专用车辆、设备；（二）有经所在地设区的市级人民政府交通运输主管部门考核合格，取得上岗资格证的驾驶人员、装卸管理人员、押运人员；（三）危险货物运输专用车辆配有必要的通讯工具；（四）有健全的安全生产管理制度。”的规定</w:t>
      </w:r>
      <w:r>
        <w:rPr>
          <w:rFonts w:hint="default" w:ascii="Times New Roman" w:hAnsi="Times New Roman" w:eastAsia="仿宋_GB2312" w:cs="Times New Roman"/>
          <w:color w:val="000000"/>
          <w:kern w:val="0"/>
          <w:sz w:val="32"/>
          <w:szCs w:val="32"/>
          <w:highlight w:val="none"/>
          <w:lang w:val="en-US" w:eastAsia="zh-CN" w:bidi="ar"/>
        </w:rPr>
        <w:t>。</w:t>
      </w:r>
    </w:p>
    <w:p w14:paraId="7DECA80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sz w:val="32"/>
          <w:szCs w:val="32"/>
          <w:highlight w:val="none"/>
        </w:rPr>
        <w:t>依据《中华人民共和国道路运输条例》第六十三条第</w:t>
      </w:r>
      <w:r>
        <w:rPr>
          <w:rFonts w:hint="default" w:ascii="Times New Roman" w:hAnsi="Times New Roman" w:eastAsia="仿宋_GB2312" w:cs="Times New Roman"/>
          <w:sz w:val="32"/>
          <w:szCs w:val="32"/>
          <w:highlight w:val="none"/>
          <w:lang w:val="en-US" w:eastAsia="zh-CN"/>
        </w:rPr>
        <w:t>三</w:t>
      </w:r>
      <w:r>
        <w:rPr>
          <w:rFonts w:hint="eastAsia" w:ascii="Times New Roman" w:hAnsi="Times New Roman" w:cs="Times New Roman"/>
          <w:sz w:val="32"/>
          <w:szCs w:val="32"/>
          <w:highlight w:val="none"/>
          <w:lang w:val="en-US" w:eastAsia="zh-CN"/>
        </w:rPr>
        <w:t>项：“未取得道路运输经营许可，擅自从事</w:t>
      </w:r>
      <w:r>
        <w:rPr>
          <w:rFonts w:hint="default" w:ascii="Times New Roman" w:hAnsi="Times New Roman" w:eastAsia="仿宋_GB2312" w:cs="Times New Roman"/>
          <w:color w:val="auto"/>
          <w:sz w:val="32"/>
          <w:szCs w:val="32"/>
          <w:highlight w:val="none"/>
        </w:rPr>
        <w:t>道路危险货物运输经营</w:t>
      </w:r>
      <w:r>
        <w:rPr>
          <w:rFonts w:hint="eastAsia" w:ascii="Times New Roman" w:hAnsi="Times New Roman" w:cs="Times New Roman"/>
          <w:color w:val="auto"/>
          <w:sz w:val="32"/>
          <w:szCs w:val="32"/>
          <w:highlight w:val="none"/>
          <w:lang w:eastAsia="zh-CN"/>
        </w:rPr>
        <w:t>，</w:t>
      </w:r>
      <w:r>
        <w:rPr>
          <w:rFonts w:hint="eastAsia" w:ascii="Times New Roman" w:hAnsi="Times New Roman" w:cs="Times New Roman"/>
          <w:color w:val="auto"/>
          <w:sz w:val="32"/>
          <w:szCs w:val="32"/>
          <w:highlight w:val="none"/>
          <w:lang w:val="en-US" w:eastAsia="zh-CN"/>
        </w:rPr>
        <w:t>违法所得超过2万元的，没收违法所得，处违法所得2倍以上10倍以下的罚款；没有违法所得或者违法所得不足2万元的，处3万元以上10万元以下的罚款。”</w:t>
      </w:r>
      <w:r>
        <w:rPr>
          <w:rFonts w:hint="default" w:ascii="Times New Roman" w:hAnsi="Times New Roman" w:eastAsia="仿宋_GB2312" w:cs="Times New Roman"/>
          <w:sz w:val="32"/>
          <w:szCs w:val="32"/>
          <w:highlight w:val="none"/>
          <w:lang w:eastAsia="zh-CN"/>
        </w:rPr>
        <w:t>，</w:t>
      </w:r>
      <w:r>
        <w:rPr>
          <w:rFonts w:hint="eastAsia" w:ascii="Times New Roman" w:hAnsi="Times New Roman" w:cs="Times New Roman"/>
          <w:sz w:val="32"/>
          <w:szCs w:val="32"/>
          <w:highlight w:val="none"/>
          <w:lang w:val="en-US" w:eastAsia="zh-CN"/>
        </w:rPr>
        <w:t>参照</w:t>
      </w:r>
      <w:r>
        <w:rPr>
          <w:rFonts w:hint="default" w:ascii="Times New Roman" w:hAnsi="Times New Roman" w:eastAsia="仿宋_GB2312" w:cs="Times New Roman"/>
          <w:sz w:val="32"/>
          <w:szCs w:val="32"/>
          <w:highlight w:val="none"/>
        </w:rPr>
        <w:t>《新疆维吾尔自治区新疆生产建设兵团交通运输行政处罚裁量权基准》第121项</w:t>
      </w:r>
      <w:r>
        <w:rPr>
          <w:rFonts w:hint="eastAsia" w:cs="Times New Roman"/>
          <w:sz w:val="32"/>
          <w:szCs w:val="32"/>
          <w:highlight w:val="none"/>
          <w:lang w:val="en-US" w:eastAsia="zh-CN"/>
        </w:rPr>
        <w:t>的规定</w:t>
      </w:r>
      <w:r>
        <w:rPr>
          <w:rFonts w:hint="eastAsia" w:ascii="Times New Roman" w:hAnsi="Times New Roman" w:cs="Times New Roman"/>
          <w:sz w:val="32"/>
          <w:szCs w:val="32"/>
          <w:highlight w:val="none"/>
          <w:lang w:eastAsia="zh-CN"/>
        </w:rPr>
        <w:t>，</w:t>
      </w:r>
      <w:r>
        <w:rPr>
          <w:rFonts w:hint="eastAsia" w:ascii="Times New Roman" w:hAnsi="Times New Roman" w:cs="Times New Roman"/>
          <w:color w:val="auto"/>
          <w:sz w:val="32"/>
          <w:szCs w:val="32"/>
          <w:highlight w:val="none"/>
          <w:lang w:val="en-US" w:eastAsia="zh-CN"/>
        </w:rPr>
        <w:t>该违法行为</w:t>
      </w:r>
      <w:r>
        <w:rPr>
          <w:rFonts w:hint="default" w:ascii="Times New Roman" w:hAnsi="Times New Roman" w:eastAsia="仿宋_GB2312" w:cs="Times New Roman"/>
          <w:color w:val="auto"/>
          <w:sz w:val="32"/>
          <w:szCs w:val="32"/>
          <w:highlight w:val="none"/>
        </w:rPr>
        <w:t>属一般</w:t>
      </w:r>
      <w:r>
        <w:rPr>
          <w:rFonts w:hint="eastAsia" w:ascii="Times New Roman" w:hAnsi="Times New Roman" w:cs="Times New Roman"/>
          <w:color w:val="auto"/>
          <w:sz w:val="32"/>
          <w:szCs w:val="32"/>
          <w:highlight w:val="none"/>
          <w:lang w:val="en-US" w:eastAsia="zh-CN"/>
        </w:rPr>
        <w:t>情形，可处3万元罚款</w:t>
      </w:r>
      <w:r>
        <w:rPr>
          <w:rFonts w:hint="default" w:ascii="Times New Roman" w:hAnsi="Times New Roman" w:eastAsia="仿宋_GB2312" w:cs="Times New Roman"/>
          <w:color w:val="auto"/>
          <w:sz w:val="32"/>
          <w:szCs w:val="32"/>
          <w:highlight w:val="none"/>
        </w:rPr>
        <w:t>。</w:t>
      </w:r>
    </w:p>
    <w:p w14:paraId="1695CED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处理结果</w:t>
      </w:r>
    </w:p>
    <w:p w14:paraId="1DD2ED0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十二师交通运输</w:t>
      </w:r>
      <w:r>
        <w:rPr>
          <w:rFonts w:hint="eastAsia" w:cs="Times New Roman"/>
          <w:color w:val="000000"/>
          <w:kern w:val="0"/>
          <w:sz w:val="32"/>
          <w:szCs w:val="32"/>
          <w:lang w:val="en-US" w:eastAsia="zh-CN" w:bidi="ar"/>
        </w:rPr>
        <w:t>局</w:t>
      </w:r>
      <w:r>
        <w:rPr>
          <w:rFonts w:hint="default" w:ascii="Times New Roman" w:hAnsi="Times New Roman" w:eastAsia="仿宋_GB2312" w:cs="Times New Roman"/>
          <w:color w:val="000000"/>
          <w:kern w:val="0"/>
          <w:sz w:val="32"/>
          <w:szCs w:val="32"/>
          <w:lang w:val="en-US" w:eastAsia="zh-CN" w:bidi="ar"/>
        </w:rPr>
        <w:t>依法对该公司作出罚款人民币叁万元整（¥30000.00）的行政处罚。</w:t>
      </w:r>
    </w:p>
    <w:p w14:paraId="745404B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eastAsia="方正小标宋简体" w:cs="Times New Roman"/>
          <w:b w:val="0"/>
          <w:bCs w:val="0"/>
          <w:color w:val="000000"/>
          <w:sz w:val="32"/>
          <w:szCs w:val="32"/>
        </w:rPr>
      </w:pPr>
      <w:r>
        <w:rPr>
          <w:rFonts w:hint="default" w:ascii="Times New Roman" w:hAnsi="Times New Roman" w:eastAsia="方正小标宋简体" w:cs="Times New Roman"/>
          <w:b w:val="0"/>
          <w:bCs w:val="0"/>
          <w:color w:val="000000"/>
          <w:sz w:val="32"/>
          <w:szCs w:val="32"/>
        </w:rPr>
        <w:t>典型意义</w:t>
      </w:r>
    </w:p>
    <w:p w14:paraId="0B6F44B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上述五起案件集中反映出部分道路运输企业对安全生产主体责任认识严重缺位，普遍存在“重经营收益、轻安全管控”的突出问题。从业人员安全培训、车辆动态监控、车辆技术管理、源头配载管控、危货运输资质管理是道路运输安全管理五大核心环节，企业在任一环节漠视法定要求、放松管理标准，都会造成安全管理体系从源头出现根本性漏洞，超速疲劳、车辆改装、超限超长、无证运输危化品等各类风险叠加，极易引发翻车、碰撞、爆炸等重特大道路交通事故，后果难以估量。</w:t>
      </w:r>
    </w:p>
    <w:p w14:paraId="4FB645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kern w:val="0"/>
          <w:sz w:val="32"/>
          <w:szCs w:val="32"/>
          <w:lang w:val="en-US" w:eastAsia="zh-CN" w:bidi="ar"/>
        </w:rPr>
        <w:t>企业主要负责人和安全生产管理人员是企业安全生产的第一道防线，</w:t>
      </w:r>
      <w:r>
        <w:rPr>
          <w:rFonts w:hint="default" w:ascii="Times New Roman" w:hAnsi="Times New Roman" w:eastAsia="仿宋_GB2312" w:cs="Times New Roman"/>
          <w:color w:val="000000"/>
          <w:kern w:val="0"/>
          <w:sz w:val="32"/>
          <w:szCs w:val="32"/>
          <w:lang w:val="en-US" w:eastAsia="zh-CN" w:bidi="ar"/>
        </w:rPr>
        <w:t>各货运、客运、物流企业应以此五起典型案例为深刻镜鉴，</w:t>
      </w:r>
      <w:r>
        <w:rPr>
          <w:rFonts w:hint="default" w:ascii="Times New Roman" w:hAnsi="Times New Roman" w:eastAsia="仿宋_GB2312" w:cs="Times New Roman"/>
          <w:kern w:val="0"/>
          <w:sz w:val="32"/>
          <w:szCs w:val="32"/>
          <w:lang w:val="en-US" w:eastAsia="zh-CN" w:bidi="ar"/>
        </w:rPr>
        <w:t>严格落实主要负责人和安全生产管理人员法定义务，</w:t>
      </w:r>
      <w:r>
        <w:rPr>
          <w:rFonts w:hint="default" w:ascii="Times New Roman" w:hAnsi="Times New Roman" w:eastAsia="仿宋_GB2312" w:cs="Times New Roman"/>
          <w:color w:val="000000"/>
          <w:kern w:val="0"/>
          <w:sz w:val="32"/>
          <w:szCs w:val="32"/>
          <w:lang w:val="en-US" w:eastAsia="zh-CN" w:bidi="ar"/>
        </w:rPr>
        <w:t>全面对照自查从业人员培训、动态监控处置、车辆日常查验、场站源头配载、危运资质准入等各环节法定职责，严格落实各项安全生产管理制度，把安全管控责任细化</w:t>
      </w:r>
      <w:r>
        <w:rPr>
          <w:rFonts w:hint="eastAsia"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落实到人、压实到岗，全面堵塞安全管理漏洞，从根本上筑牢辖区道路运输安全生产坚固防线。</w:t>
      </w:r>
    </w:p>
    <w:p w14:paraId="402799F8">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default" w:ascii="Times New Roman" w:hAnsi="Times New Roman" w:eastAsia="仿宋_GB2312" w:cs="Times New Roman"/>
          <w:kern w:val="0"/>
          <w:sz w:val="32"/>
          <w:szCs w:val="32"/>
          <w:lang w:val="en-US" w:eastAsia="zh-CN" w:bidi="ar"/>
        </w:rPr>
      </w:pPr>
    </w:p>
    <w:p w14:paraId="472A4C47">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default" w:ascii="Times New Roman" w:hAnsi="Times New Roman" w:eastAsia="仿宋_GB2312" w:cs="Times New Roman"/>
          <w:kern w:val="0"/>
          <w:sz w:val="32"/>
          <w:szCs w:val="32"/>
          <w:lang w:val="en-US" w:eastAsia="zh-CN" w:bidi="ar"/>
        </w:rPr>
      </w:pPr>
    </w:p>
    <w:p w14:paraId="699E5ADE">
      <w:pPr>
        <w:keepNext w:val="0"/>
        <w:keepLines w:val="0"/>
        <w:pageBreakBefore w:val="0"/>
        <w:kinsoku/>
        <w:wordWrap/>
        <w:overflowPunct/>
        <w:topLinePunct w:val="0"/>
        <w:autoSpaceDE/>
        <w:autoSpaceDN/>
        <w:bidi w:val="0"/>
        <w:adjustRightInd/>
        <w:snapToGrid/>
        <w:spacing w:line="500" w:lineRule="exact"/>
        <w:textAlignment w:val="auto"/>
        <w:rPr>
          <w:rFonts w:hint="default" w:ascii="Times New Roman" w:hAnsi="Times New Roman" w:eastAsia="仿宋_GB2312" w:cs="Times New Roman"/>
          <w:sz w:val="32"/>
          <w:szCs w:val="32"/>
        </w:rPr>
      </w:pPr>
      <w:bookmarkStart w:id="0" w:name="_GoBack"/>
      <w:bookmarkEnd w:id="0"/>
    </w:p>
    <w:sectPr>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4F7580"/>
    <w:rsid w:val="0A8C1AE9"/>
    <w:rsid w:val="0A95796D"/>
    <w:rsid w:val="18A73513"/>
    <w:rsid w:val="196015C3"/>
    <w:rsid w:val="1F4B764A"/>
    <w:rsid w:val="215B2BB5"/>
    <w:rsid w:val="233C26BE"/>
    <w:rsid w:val="2654056D"/>
    <w:rsid w:val="2B140875"/>
    <w:rsid w:val="2CF605FD"/>
    <w:rsid w:val="33E90CDE"/>
    <w:rsid w:val="50B542FB"/>
    <w:rsid w:val="55BF25F8"/>
    <w:rsid w:val="5732741D"/>
    <w:rsid w:val="5B785F39"/>
    <w:rsid w:val="630A5B04"/>
    <w:rsid w:val="6888592A"/>
    <w:rsid w:val="6AF63CE9"/>
    <w:rsid w:val="6BF12610"/>
    <w:rsid w:val="6C8A6AF5"/>
    <w:rsid w:val="70E6530E"/>
    <w:rsid w:val="7350015E"/>
    <w:rsid w:val="757E36F4"/>
    <w:rsid w:val="787E27EF"/>
    <w:rsid w:val="79BD4806"/>
    <w:rsid w:val="7AE030D5"/>
    <w:rsid w:val="7D6732A3"/>
    <w:rsid w:val="7E561C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880" w:firstLineChars="200"/>
      <w:jc w:val="both"/>
    </w:pPr>
    <w:rPr>
      <w:rFonts w:ascii="Times New Roman" w:hAnsi="Times New Roman" w:eastAsia="仿宋_GB2312" w:cstheme="minorBidi"/>
      <w:kern w:val="2"/>
      <w:sz w:val="32"/>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3553</Words>
  <Characters>3680</Characters>
  <Lines>0</Lines>
  <Paragraphs>0</Paragraphs>
  <TotalTime>29</TotalTime>
  <ScaleCrop>false</ScaleCrop>
  <LinksUpToDate>false</LinksUpToDate>
  <CharactersWithSpaces>3681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2022-06-15T02:40:00Z</dcterms:created>
  <dc:creator>执法支队</dc:creator>
  <cp:lastModifiedBy>海涛</cp:lastModifiedBy>
  <cp:lastPrinted>2026-07-24T05:50:00Z</cp:lastPrinted>
  <dcterms:modified xsi:type="dcterms:W3CDTF">2026-08-14T05:27:59Z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8B47CF9001DB4472910472B3A8C108DF_13</vt:lpwstr>
  </property>
  <property fmtid="{D5CDD505-2E9C-101B-9397-08002B2CF9AE}" pid="4" name="KSOTemplateDocerSaveRecord">
    <vt:lpwstr>eyJoZGlkIjoiZTIwZTk4ZWZlNmQxYzU0MmQ2M2Q1OGVjYzE3MTQyNGQiLCJ1c2VySWQiOiIyOTMxMTY2OTUifQ==</vt:lpwstr>
  </property>
</Properties>
</file>