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71CA4">
      <w:pPr>
        <w:keepNext w:val="0"/>
        <w:keepLines w:val="0"/>
        <w:pageBreakBefore w:val="0"/>
        <w:widowControl w:val="0"/>
        <w:kinsoku/>
        <w:wordWrap/>
        <w:overflowPunct/>
        <w:topLinePunct w:val="0"/>
        <w:autoSpaceDE/>
        <w:bidi w:val="0"/>
        <w:spacing w:line="520" w:lineRule="exact"/>
        <w:jc w:val="both"/>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p>
    <w:p w14:paraId="7605D199">
      <w:pPr>
        <w:keepNext w:val="0"/>
        <w:keepLines w:val="0"/>
        <w:pageBreakBefore w:val="0"/>
        <w:widowControl w:val="0"/>
        <w:kinsoku/>
        <w:wordWrap/>
        <w:overflowPunct/>
        <w:topLinePunct w:val="0"/>
        <w:autoSpaceDE/>
        <w:bidi w:val="0"/>
        <w:spacing w:line="520" w:lineRule="exact"/>
        <w:jc w:val="cente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t>关于促进十二师房地产业高质量发展</w:t>
      </w:r>
    </w:p>
    <w:p w14:paraId="71369FD2">
      <w:pPr>
        <w:keepNext w:val="0"/>
        <w:keepLines w:val="0"/>
        <w:pageBreakBefore w:val="0"/>
        <w:widowControl w:val="0"/>
        <w:kinsoku/>
        <w:wordWrap/>
        <w:overflowPunct/>
        <w:topLinePunct w:val="0"/>
        <w:autoSpaceDE/>
        <w:bidi w:val="0"/>
        <w:spacing w:line="520" w:lineRule="exact"/>
        <w:jc w:val="cente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highlight w:val="none"/>
          <w14:textFill>
            <w14:solidFill>
              <w14:schemeClr w14:val="tx1"/>
            </w14:solidFill>
          </w14:textFill>
        </w:rPr>
        <w:t>的若干措施（征求意见稿）</w:t>
      </w:r>
    </w:p>
    <w:p w14:paraId="27F90C54">
      <w:pPr>
        <w:keepNext w:val="0"/>
        <w:keepLines w:val="0"/>
        <w:pageBreakBefore w:val="0"/>
        <w:widowControl w:val="0"/>
        <w:kinsoku/>
        <w:wordWrap/>
        <w:overflowPunct/>
        <w:topLinePunct w:val="0"/>
        <w:autoSpaceDE/>
        <w:bidi w:val="0"/>
        <w:spacing w:line="520" w:lineRule="exact"/>
        <w:ind w:firstLine="640"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p>
    <w:p w14:paraId="2297FF17">
      <w:pPr>
        <w:keepNext w:val="0"/>
        <w:keepLines w:val="0"/>
        <w:pageBreakBefore w:val="0"/>
        <w:widowControl w:val="0"/>
        <w:kinsoku/>
        <w:wordWrap/>
        <w:overflowPunct/>
        <w:topLinePunct w:val="0"/>
        <w:autoSpaceDE/>
        <w:bidi w:val="0"/>
        <w:spacing w:line="520" w:lineRule="exact"/>
        <w:ind w:firstLine="640"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为满足人民群众日益增长的高品质住房需求，推动十二师房地产业转型升级，以提升住宅品质为核心，以全生命周期管理为理念，通过优化土地、规划、设计、建设、服务、运维等环节，推动建设安全、舒适、绿色、智慧的“好房子”，促进十二师房地产业高质量发展。现结合实际，特制定以下措施。</w:t>
      </w:r>
    </w:p>
    <w:p w14:paraId="735A51B9">
      <w:pPr>
        <w:pStyle w:val="5"/>
        <w:keepNext w:val="0"/>
        <w:keepLines w:val="0"/>
        <w:pageBreakBefore w:val="0"/>
        <w:widowControl w:val="0"/>
        <w:numPr>
          <w:ilvl w:val="0"/>
          <w:numId w:val="0"/>
        </w:numPr>
        <w:kinsoku/>
        <w:wordWrap/>
        <w:overflowPunct/>
        <w:topLinePunct w:val="0"/>
        <w:autoSpaceDE/>
        <w:bidi w:val="0"/>
        <w:spacing w:beforeAutospacing="0" w:afterAutospacing="0"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1.优化地下空间确权及出让政策。</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住宅项目地下储藏室、非人防工程停车位</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等地下空间，按规定</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补缴土地出让金后，可办理</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商品房</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预售许可及不动产登记。地下一层土地出让价款按补缴时点同区域、同级别、同用途地表建设用地使用权市场楼面地价的10%征收，地下二层按地下一层市场价格的50%征收，地下三层不征收。</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鼓励新建住宅项目首次办理规划手续时将非人防区域的地下空间（含半地下）面积计入容积率并办理不动产登记。首期</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未</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将相应面积计入容积率的，后期申请办理不动产登记时须重新核算容积率，容积率不得超出原规划条件、土地出让合同约定。（</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10BA9D10">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明确屋面及配套设施计容豁免规则。</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建筑物屋顶的楼梯间、电梯机房、消防水箱间、风机房、管道井等设备设施用房，累计建筑面积不大于该栋建筑物屋面面积1/4时可不计入容积率；配建的开闭所、变电室、公厕、垃圾收集站（点）等市政配套设施，其建筑面积可不计入容积率。</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4A66C354">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规范阳台计容测绘核算标准。</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阳台</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进深</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结构底板外围至外墙面的最大垂直距离</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不超过2.1m</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的结构外阳台，无论封闭与否均按</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其</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水平投影面积的</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1/2计算容积率，房产测绘遵照本标准执行</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；进深或面积比例超出规定的部分，按其水平投影面积计算建筑面积与容积率。（</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15CE4F67">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严格飘窗规划设计管控。</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在符合建筑设计和地方节能设计相关规范规定要求的前提下，允许客厅、餐厅、卧室、书房设置合理设置飘（凸）窗，厨房、卫生间、储藏间、杂物间除外；飘（凸）窗外不得设置设备平台，设备平台与飘（凸）窗的总投影面积</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应小于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本栋建筑基底面积的12%。（</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1E7DA92C">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5.科学合理建筑设计和户型设计。</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在满足住宅设计相关规范要求基础上，起居室（厅）短边净宽</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宜大于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3.1m，主卧室短边净宽</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宜大于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2.8m，次卧室短边净宽</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宜大于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2.5m。</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4193E48B">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.规范首层住宅专有庭院设置管理。</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支持建筑高度在27m以下的住宅小区在满足绿地率、安全保障要求的前提下设置首层住宅室外专有庭院，庭院面积</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小于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50㎡/户、进深</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宜小于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6m，且不计入小区绿地率和产权面积（仅有使用权），庭院应以绿化功能为主，可设置通透性围栏（高度</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小于</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1.6m）与小区环境相融合；在建设工程规划设计方案审查时明确专有庭院界限及立面效果，并在规划总平面图、工程规划许可证附图、商品房买卖合同及附件、不动产权证附图中体现。开发建设单位在进行房屋销售时须将专有庭院用途及相关义务向购房者予以书面告知。禁止改变或变相改变住宅小区公共空间内绿地、广场等的公共开放属性。（责任单位：师自然资源和规划局、师住房和城乡建设局）</w:t>
      </w:r>
    </w:p>
    <w:p w14:paraId="00288505">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优化非机动停车配建标准。</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住宅小区应合理规划非机动车停车位及电动自行车充电停放场所，停车位面积按照1.5～1.8㎡/个计算。套型建筑面积≤90㎡的按照0.5个/户配建，套型建筑面积＞90㎡的按照0.3个/户配建；电动自行车停车位的配建数量不应低于非机动车停车位的50%。</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5C0B992E">
      <w:pPr>
        <w:keepNext w:val="0"/>
        <w:keepLines w:val="0"/>
        <w:pageBreakBefore w:val="0"/>
        <w:widowControl w:val="0"/>
        <w:kinsoku/>
        <w:wordWrap/>
        <w:overflowPunct/>
        <w:topLinePunct w:val="0"/>
        <w:autoSpaceDE/>
        <w:bidi w:val="0"/>
        <w:adjustRightInd w:val="0"/>
        <w:snapToGrid w:val="0"/>
        <w:spacing w:line="520" w:lineRule="exact"/>
        <w:ind w:firstLine="643" w:firstLineChars="200"/>
        <w:jc w:val="both"/>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8</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调整</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保障性住房配建政策。</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2026年新挂牌成交的住宅用地，房地产企业不再</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强制</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配建保障性住房（公共租赁住房、经济适用房等）</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后续结合</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全师住房保障供需、市场运行形势</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，研究政策延续</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、调整</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事宜</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，精准适配全师住房保障体系建设需求</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6828FAFA">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9.将好房子标准纳入土地出让条件。</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将“好房子”相关要求纳入新供应住宅用地的出让条件，已拍未建住宅用地按照“好房子”相关要求规划设计建设。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鼓励住宅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户型设计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预留适老化改造空间，优化厨卫采光通风</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和卫生视距，保障居住空间私密性与舒适度</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塑造精致有序的</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城市环境，</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提升住宅小区品质，鼓励商住分离设计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snapToGrid w:val="0"/>
          <w:color w:val="000000" w:themeColor="text1"/>
          <w:kern w:val="0"/>
          <w:sz w:val="32"/>
          <w:szCs w:val="32"/>
          <w:highlight w:val="none"/>
          <w:lang w:val="en-US" w:eastAsia="zh-CN"/>
          <w14:textFill>
            <w14:solidFill>
              <w14:schemeClr w14:val="tx1"/>
            </w14:solidFill>
          </w14:textFill>
        </w:rPr>
        <w:t>两者之间除满足消防间距外，还应通过规划布局、绿化隔离等方式减少噪声、油烟、灯光等干扰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规范建筑面积和容积率计算，保障业主合法权益。</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3D54AB4F">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10.盘活老旧小区存量用地及配套空间</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。推进城市更新提质增效。</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在确保</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安全底线前提下，利用老旧住宅小区自有空地增设公共服务设施用房，经三分之二以上业主同意，可由属地团场（街道）、社区申请，增加的建筑面积不计入容积率，简化规划审批手续。</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p>
    <w:p w14:paraId="2E453C6E">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6"/>
          <w:highlight w:val="none"/>
          <w:lang w:val="en-US" w:eastAsia="zh-CN"/>
          <w14:textFill>
            <w14:solidFill>
              <w14:schemeClr w14:val="tx1"/>
            </w14:solidFill>
          </w14:textFill>
        </w:rPr>
        <w:t>11</w:t>
      </w:r>
      <w:r>
        <w:rPr>
          <w:rFonts w:hint="default" w:ascii="Times New Roman" w:hAnsi="Times New Roman" w:eastAsia="仿宋_GB2312" w:cs="Times New Roman"/>
          <w:b/>
          <w:bCs/>
          <w:color w:val="000000" w:themeColor="text1"/>
          <w:sz w:val="32"/>
          <w:szCs w:val="36"/>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6"/>
          <w:highlight w:val="none"/>
          <w:lang w:eastAsia="zh-CN"/>
          <w14:textFill>
            <w14:solidFill>
              <w14:schemeClr w14:val="tx1"/>
            </w14:solidFill>
          </w14:textFill>
        </w:rPr>
        <w:t>提升建筑风貌与全流程品质管控</w:t>
      </w:r>
      <w:r>
        <w:rPr>
          <w:rFonts w:hint="default" w:ascii="Times New Roman" w:hAnsi="Times New Roman" w:eastAsia="仿宋_GB2312" w:cs="Times New Roman"/>
          <w:b/>
          <w:bCs/>
          <w:color w:val="000000" w:themeColor="text1"/>
          <w:sz w:val="32"/>
          <w:szCs w:val="36"/>
          <w:highlight w:val="none"/>
          <w14:textFill>
            <w14:solidFill>
              <w14:schemeClr w14:val="tx1"/>
            </w14:solidFill>
          </w14:textFill>
        </w:rPr>
        <w:t>。</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建筑立面及檐口、线脚、门窗、屋顶、阳台等细部应精细化设计，突出建筑品质，体现时代特征与文化内涵。提升居住环境和品质，注重第</w:t>
      </w:r>
      <w:r>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t>五</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立面设计，</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楼顶或屋面</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宜为非上人屋面，</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仅限设备检修和紧急疏散使用。</w:t>
      </w:r>
      <w:r>
        <w:rPr>
          <w:rFonts w:hint="default" w:ascii="Times New Roman" w:hAnsi="Times New Roman" w:eastAsia="仿宋_GB2312" w:cs="Times New Roman"/>
          <w:b w:val="0"/>
          <w:bCs w:val="0"/>
          <w:color w:val="000000" w:themeColor="text1"/>
          <w:sz w:val="32"/>
          <w:szCs w:val="36"/>
          <w:highlight w:val="none"/>
          <w14:textFill>
            <w14:solidFill>
              <w14:schemeClr w14:val="tx1"/>
            </w14:solidFill>
          </w14:textFill>
        </w:rPr>
        <w:t>建筑宜选用耐久性强、易于维护的外立面材料，</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鼓励探索其它新型高质量材质。</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开发企业、物业管理及属地、相关职能部门应加强首层专有庭院、屋面、楼顶、公共绿地、设备平台等空间的规范管理，严禁违规搭建与擅自改变用途，确保“好房子”在交付使用后不变形、不走样。</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、属地团场、常州街片区管委会）</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7DBFB2BE">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12</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推行</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预售资金信用分级</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差异化</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监管。</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结合房企信用评价结果，对企业实施预售资金监管差别化管理，AAA级（优良）房企留存比例降低20%，AA级（良好）房企留存比例降低10%，A级正常监管，B级（风险大）房企留存比例提高10%、C级（风险极大）房企留存比例提高20%</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219DD422">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13</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.优化</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商品房</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预售许可</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审批</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流程。</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适度优化预售准入条件，</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新开发商品住房项目</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三证齐全</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建设资金投入达到工程建设总投资的</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25%以上、主体</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施工至</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±0以上，明确</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建设进度及</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竣工交付</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时间</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的，可</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依规申</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办</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商品房</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预售许可</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。项目未</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达到规定预售形象进度前，实行全额预售资金监管。</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0C21D0F8">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kern w:val="0"/>
          <w:sz w:val="32"/>
          <w:szCs w:val="32"/>
          <w:highlight w:val="none"/>
          <w14:textFill>
            <w14:solidFill>
              <w14:schemeClr w14:val="tx1"/>
            </w14:solidFill>
          </w14:textFill>
        </w:rPr>
        <w:t>1</w:t>
      </w:r>
      <w:r>
        <w:rPr>
          <w:rFonts w:hint="default" w:ascii="Times New Roman" w:hAnsi="Times New Roman" w:eastAsia="仿宋_GB2312" w:cs="Times New Roman"/>
          <w:b/>
          <w:bCs/>
          <w:color w:val="000000" w:themeColor="text1"/>
          <w:kern w:val="0"/>
          <w:sz w:val="32"/>
          <w:szCs w:val="32"/>
          <w:highlight w:val="none"/>
          <w:lang w:val="en-US" w:eastAsia="zh-CN"/>
          <w14:textFill>
            <w14:solidFill>
              <w14:schemeClr w14:val="tx1"/>
            </w14:solidFill>
          </w14:textFill>
        </w:rPr>
        <w:t>4</w:t>
      </w:r>
      <w:r>
        <w:rPr>
          <w:rFonts w:hint="default" w:ascii="Times New Roman" w:hAnsi="Times New Roman" w:eastAsia="仿宋_GB2312" w:cs="Times New Roman"/>
          <w:b/>
          <w:bCs/>
          <w:color w:val="000000" w:themeColor="text1"/>
          <w:kern w:val="0"/>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highlight w:val="none"/>
          <w:lang w:eastAsia="zh-CN"/>
          <w14:textFill>
            <w14:solidFill>
              <w14:schemeClr w14:val="tx1"/>
            </w14:solidFill>
          </w14:textFill>
        </w:rPr>
        <w:t>全面</w:t>
      </w:r>
      <w:r>
        <w:rPr>
          <w:rFonts w:hint="default" w:ascii="Times New Roman" w:hAnsi="Times New Roman" w:eastAsia="仿宋_GB2312" w:cs="Times New Roman"/>
          <w:b/>
          <w:bCs/>
          <w:color w:val="000000" w:themeColor="text1"/>
          <w:kern w:val="0"/>
          <w:sz w:val="32"/>
          <w:szCs w:val="32"/>
          <w:highlight w:val="none"/>
          <w14:textFill>
            <w14:solidFill>
              <w14:schemeClr w14:val="tx1"/>
            </w14:solidFill>
          </w14:textFill>
        </w:rPr>
        <w:t>推行交房即交证制度。</w:t>
      </w:r>
      <w:r>
        <w:rPr>
          <w:rFonts w:hint="default" w:ascii="Times New Roman" w:hAnsi="Times New Roman" w:eastAsia="仿宋_GB2312" w:cs="Times New Roman"/>
          <w:b w:val="0"/>
          <w:bCs w:val="0"/>
          <w:color w:val="000000" w:themeColor="text1"/>
          <w:kern w:val="0"/>
          <w:sz w:val="32"/>
          <w:szCs w:val="32"/>
          <w:highlight w:val="none"/>
          <w14:textFill>
            <w14:solidFill>
              <w14:schemeClr w14:val="tx1"/>
            </w14:solidFill>
          </w14:textFill>
        </w:rPr>
        <w:t>健全多部门联合验收协同机制，统筹推进测绘、竣工联合验收、规划核实、不动产登记流程集成整合，实行并联办理、数据共享。推行新开发项目在商品住房预售阶段约定交房即交证，实现新建商品住房交付使用时同步办理不动产权证书</w:t>
      </w:r>
      <w:r>
        <w:rPr>
          <w:rFonts w:hint="default" w:ascii="Times New Roman" w:hAnsi="Times New Roman" w:eastAsia="仿宋_GB2312" w:cs="Times New Roman"/>
          <w:b w:val="0"/>
          <w:bCs w:val="0"/>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责任单位：师自然资源和规划局、师住房和城乡建设局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6FFA9195">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1</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.落实</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房地产</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税收优惠</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支持</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政策。</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严格落实国家税收减免政策，</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房地产企业</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建设</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普通标准住宅出售，增值额未超过扣除项目金额20%的，免征土地增值税。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落实个人住房交易税费政策，</w:t>
      </w:r>
      <w:r>
        <w:rPr>
          <w:rFonts w:hint="default" w:ascii="Times New Roman" w:hAnsi="Times New Roman" w:eastAsia="仿宋_GB2312" w:cs="Times New Roman"/>
          <w:color w:val="000000" w:themeColor="text1"/>
          <w:sz w:val="32"/>
          <w:szCs w:val="32"/>
          <w14:textFill>
            <w14:solidFill>
              <w14:schemeClr w14:val="tx1"/>
            </w14:solidFill>
          </w14:textFill>
        </w:rPr>
        <w:t>对个人购买家庭唯一住房和家庭第二套住房，面积为140平方米及以下的，统一减按1%的税率征收契税。面积为140平方米以上的，家庭唯一住房减按 1.5%的税率征收契税、家庭第二套住房减按2%的税率征收契税。</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经开区税务局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511DBE91">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16.落实居民换购住房个税退税政策。</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自2026年1月1日至2027年12月31日，个人出售十二师自有住房，1年内在本师重新购买新建住房的，按规定退还卖房环节已缴个人所得税。新购房金额大于或等于旧房转让金额的全额退税，小于旧房金额的按比例退税，全力支持居民以旧换新、改善居住条件。（责任单位：师住房和城乡建设局、</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经开区税务局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643AA484">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17</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.优化个人住房信贷支持政策</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降低居民购房融资门槛，落实商业性个人住房贷款差异化支持政策，取消首套、二套住房商业贷款首付比例差异化限制，全师个人住房商业贷款最低首付比例统一按15%执行，切实减轻职工群众购房首付压力</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、师财政局）</w:t>
      </w:r>
    </w:p>
    <w:p w14:paraId="49662D40">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18</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.加大住房公积金贷款支持力度。</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2026年全年实施公积金阶段性提额降息政策，个人住房公积金贷款最高额度由80万元提高至120万元。十二师辖区购房、多子女家庭购房可再上浮20%，最高可贷144万元，两项优惠不叠加、按最高额度执行。严格落实阶段性贷款利率，有效降低刚需、改善型家庭长期还贷压力</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60EBE780">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19.</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实施新建商品</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住房消费</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补贴</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持续释放住房消费潜力，2026年全年实施新建商品房购房补贴。购买90平方米及以下新建商品住房每套补贴6500元，购买90平方米</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以上</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新建商品住房每套补贴13000元。二手房、保障房、法拍房、安置房、商业公寓、商铺、车位等非新建商品住房不纳入补贴范围，从严规范补贴兑付口径。</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责任单位：师财政局、师住房和城乡建设局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3FD0CD16">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20</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highlight w:val="none"/>
          <w14:textFill>
            <w14:solidFill>
              <w14:schemeClr w14:val="tx1"/>
            </w14:solidFill>
          </w14:textFill>
        </w:rPr>
        <w:t>落实购房落户入学配套保障</w:t>
      </w:r>
      <w:r>
        <w:rPr>
          <w:rFonts w:hint="default" w:ascii="Times New Roman" w:hAnsi="Times New Roman" w:eastAsia="仿宋_GB2312" w:cs="Times New Roman"/>
          <w:b/>
          <w:bCs/>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14:textFill>
            <w14:solidFill>
              <w14:schemeClr w14:val="tx1"/>
            </w14:solidFill>
          </w14:textFill>
        </w:rPr>
        <w:t>完善住房配套公共服务，保障购房居民权益。群众购买新建商品住房，凭不动产权证书或有效网签备案合同可办理户口迁移或居住证；房屋实际交付入住后，购房人子女可凭户籍、居住证按学区政策申请义务教育阶段入学，实现购房、安居、入学无缝衔接。</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责任单位：师教育局、师公安局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530BEEB6">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2</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.强化房地产项目金融纾困帮扶</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落实房地产融资协调机制，对纳入金融支持“白名单”、符合开发建设条件、风险可控的优质房地产项目，支持银行机构依法依规给予存量贷款接续，接续额度不超过剩余贷款本金，接续期限最长不超过5年，有效缓解企业资金周转压力，保障项目平稳建设交付。</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责任单位：师财政局、师住房和城乡建设局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 xml:space="preserve"> </w:t>
      </w:r>
    </w:p>
    <w:p w14:paraId="2461C058">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22.推行职工团购阶梯优惠政策。</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单位组织职工一次性购买同一家房企开发建设的新建商品住宅，团购4套及以上的，意向房企根据购房套数按照市场公布价格每平方米给予阶梯式团购优惠。4-10套</w:t>
      </w:r>
      <w:bookmarkStart w:id="0" w:name="_GoBack"/>
      <w:bookmarkEnd w:id="0"/>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：500元/㎡；11套及以上：800元/㎡。</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4D0701E1">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23.全面推行商品房以旧换新机制。</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房产企业、中介机构、房主签订三方协议，旧房交易成功的，中介佣金由新房成交房企承担；90天内未交易成功的，可根据购房人意愿全额退还新房购房定金（中介佣金由个人承担，退还房企），有效打消群众“先卖后买”顾虑，畅通存量盘活、增量消费良性循环。</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责任单位：师住房和城乡建设局</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14:paraId="28B157AF">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附则</w:t>
      </w:r>
    </w:p>
    <w:p w14:paraId="4A124223">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firstLine="640"/>
        <w:jc w:val="both"/>
        <w:textAlignment w:val="bottom"/>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本措施仅适用于第十二师域内房地产开发项目及购房群众，自发布之日起施行，有效期根据市场运行情况动态调整。本措施由师自然资源和规划局、师住房和城乡建设局负责解释。</w:t>
      </w:r>
    </w:p>
    <w:p w14:paraId="2DB1BE60">
      <w:pPr>
        <w:pStyle w:val="8"/>
        <w:keepNext w:val="0"/>
        <w:keepLines w:val="0"/>
        <w:pageBreakBefore w:val="0"/>
        <w:widowControl w:val="0"/>
        <w:pBdr>
          <w:top w:val="none" w:color="000000" w:sz="0" w:space="0"/>
          <w:left w:val="none" w:color="000000" w:sz="0" w:space="0"/>
          <w:bottom w:val="none" w:color="000000" w:sz="0" w:space="12"/>
          <w:right w:val="none" w:color="000000" w:sz="0" w:space="0"/>
        </w:pBdr>
        <w:tabs>
          <w:tab w:val="left" w:pos="1701"/>
          <w:tab w:val="left" w:pos="4800"/>
        </w:tabs>
        <w:kinsoku/>
        <w:wordWrap/>
        <w:overflowPunct/>
        <w:topLinePunct w:val="0"/>
        <w:autoSpaceDE/>
        <w:autoSpaceDN w:val="0"/>
        <w:bidi w:val="0"/>
        <w:adjustRightInd w:val="0"/>
        <w:snapToGrid w:val="0"/>
        <w:spacing w:line="520" w:lineRule="exact"/>
        <w:ind w:left="0" w:leftChars="0" w:firstLine="640" w:firstLineChars="200"/>
        <w:jc w:val="both"/>
        <w:textAlignment w:val="bottom"/>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p>
    <w:p w14:paraId="60EF3227">
      <w:pPr>
        <w:pStyle w:val="3"/>
        <w:keepNext w:val="0"/>
        <w:keepLines w:val="0"/>
        <w:pageBreakBefore w:val="0"/>
        <w:kinsoku/>
        <w:wordWrap/>
        <w:overflowPunct/>
        <w:topLinePunct w:val="0"/>
        <w:autoSpaceDE/>
        <w:bidi w:val="0"/>
        <w:spacing w:line="520" w:lineRule="exac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51C6DBFC">
      <w:pPr>
        <w:pStyle w:val="3"/>
        <w:keepNext w:val="0"/>
        <w:keepLines w:val="0"/>
        <w:pageBreakBefore w:val="0"/>
        <w:kinsoku/>
        <w:wordWrap/>
        <w:overflowPunct/>
        <w:topLinePunct w:val="0"/>
        <w:autoSpaceDE/>
        <w:bidi w:val="0"/>
        <w:spacing w:line="520" w:lineRule="exact"/>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3837EF1A"/>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4EC36">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837BB">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7837BB">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- 2 -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D3170"/>
    <w:rsid w:val="240D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Body Text Indent 2"/>
    <w:basedOn w:val="1"/>
    <w:qFormat/>
    <w:uiPriority w:val="0"/>
    <w:pPr>
      <w:widowControl/>
      <w:spacing w:after="120" w:line="480" w:lineRule="auto"/>
      <w:ind w:left="420" w:leftChars="200"/>
    </w:pPr>
    <w:rPr>
      <w:sz w:val="28"/>
      <w:szCs w:val="2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8">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2026-08-24T09:17:00Z</dcterms:created>
  <dc:creator>闹够了没有</dc:creator>
  <cp:lastModifiedBy>闹够了没有</cp:lastModifiedBy>
  <cp:lastPrinted>2026-08-24T09:17:58Z</cp:lastPrinted>
  <dcterms:modified xsi:type="dcterms:W3CDTF">2026-08-24T09:18:12Z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8DF83AAAF025412E8653E14D47A415CD_11</vt:lpwstr>
  </property>
  <property fmtid="{D5CDD505-2E9C-101B-9397-08002B2CF9AE}" pid="4" name="KSOTemplateDocerSaveRecord">
    <vt:lpwstr>eyJoZGlkIjoiYzRkZmRmMWMyODAxNTVjNjAxZmU3OTM2MGU4NjBiYTUiLCJ1c2VySWQiOiIyMzM5OTkzOTUifQ==</vt:lpwstr>
  </property>
</Properties>
</file>