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87F7A">
      <w:pPr>
        <w:pStyle w:val="30"/>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p>
    <w:p w14:paraId="0075261C">
      <w:pPr>
        <w:keepNext w:val="0"/>
        <w:keepLines w:val="0"/>
        <w:pageBreakBefore w:val="0"/>
        <w:widowControl w:val="0"/>
        <w:kinsoku/>
        <w:wordWrap/>
        <w:overflowPunct/>
        <w:topLinePunct w:val="0"/>
        <w:autoSpaceDE/>
        <w:autoSpaceDN/>
        <w:bidi w:val="0"/>
        <w:adjustRightInd/>
        <w:snapToGrid/>
        <w:spacing w:line="56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方正小标宋简体" w:cs="Times New Roman"/>
          <w:sz w:val="44"/>
          <w:szCs w:val="44"/>
          <w:lang w:val="en-US" w:eastAsia="zh-CN"/>
        </w:rPr>
        <w:t>关于新疆硕果建材有限公司农用水溶滴灌复合肥和液体肥生产项目</w:t>
      </w:r>
      <w:r>
        <w:rPr>
          <w:rFonts w:hint="default" w:ascii="Times New Roman" w:hAnsi="Times New Roman" w:eastAsia="方正小标宋简体" w:cs="Times New Roman"/>
          <w:b w:val="0"/>
          <w:bCs w:val="0"/>
          <w:color w:val="auto"/>
          <w:spacing w:val="-20"/>
          <w:sz w:val="44"/>
          <w:szCs w:val="44"/>
          <w:lang w:val="en-US" w:eastAsia="zh-CN"/>
        </w:rPr>
        <w:t>环境影响报告表</w:t>
      </w:r>
      <w:r>
        <w:rPr>
          <w:rFonts w:hint="eastAsia" w:ascii="方正小标宋简体" w:hAnsi="方正小标宋简体" w:eastAsia="方正小标宋简体" w:cs="方正小标宋简体"/>
          <w:sz w:val="44"/>
          <w:szCs w:val="44"/>
          <w:lang w:val="en-US" w:eastAsia="zh-CN"/>
        </w:rPr>
        <w:t>的批复</w:t>
      </w:r>
    </w:p>
    <w:p w14:paraId="67C52F69">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9"/>
        <w:rPr>
          <w:rFonts w:hint="default" w:ascii="Times New Roman" w:hAnsi="Times New Roman" w:eastAsia="仿宋_GB2312" w:cs="Times New Roman"/>
          <w:sz w:val="32"/>
          <w:szCs w:val="32"/>
        </w:rPr>
      </w:pPr>
    </w:p>
    <w:p w14:paraId="61DE081C">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新疆硕果建材有限公司：</w:t>
      </w:r>
    </w:p>
    <w:p w14:paraId="5663E4A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你单位报送的由新疆中新荣耀环境工程有限公司编制的《新疆硕果建材有限公司农用水溶滴灌复合肥和液体肥生产项目环境影响报告表》（以下简称《报告表》）收悉。根据《中华人民共和国行政许可法》第三十八条第一款、《中华人民共和国环境影响评价法》第二十二条第三款，经审查，现批复如下</w:t>
      </w:r>
      <w:r>
        <w:rPr>
          <w:rFonts w:hint="eastAsia" w:ascii="Times New Roman" w:hAnsi="Times New Roman" w:eastAsia="仿宋_GB2312" w:cs="Times New Roman"/>
          <w:color w:val="auto"/>
          <w:sz w:val="32"/>
          <w:szCs w:val="32"/>
          <w:lang w:val="en-US" w:eastAsia="zh-CN"/>
        </w:rPr>
        <w:t>：</w:t>
      </w:r>
    </w:p>
    <w:p w14:paraId="127F361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一、本项目位于第十二师经济技术开发区兵团工业园区玫瑰街15号，中心地理坐标：东经87°21'53.052"、北纬43°45'54.211"。项目区东侧为新疆广聚建材有限公司，南侧为茉莉一街，西侧隔路为新疆荣坤建材有限公司，北侧为空地。</w:t>
      </w:r>
    </w:p>
    <w:p w14:paraId="2945690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建设内容：本项目建设性质为新建。</w:t>
      </w:r>
      <w:r>
        <w:rPr>
          <w:rFonts w:hint="eastAsia" w:eastAsia="仿宋_GB2312" w:cs="Times New Roman"/>
          <w:color w:val="auto"/>
          <w:sz w:val="32"/>
          <w:szCs w:val="32"/>
          <w:highlight w:val="none"/>
          <w:lang w:val="en-US" w:eastAsia="zh-CN"/>
        </w:rPr>
        <w:t>建成后年产</w:t>
      </w:r>
      <w:r>
        <w:rPr>
          <w:rFonts w:hint="default" w:ascii="Times New Roman" w:hAnsi="Times New Roman" w:eastAsia="仿宋_GB2312" w:cs="Times New Roman"/>
          <w:color w:val="auto"/>
          <w:sz w:val="32"/>
          <w:szCs w:val="32"/>
          <w:highlight w:val="none"/>
          <w:lang w:val="en-US" w:eastAsia="zh-CN"/>
        </w:rPr>
        <w:t>农用水溶肥1万吨</w:t>
      </w:r>
      <w:r>
        <w:rPr>
          <w:rFonts w:hint="eastAsia" w:eastAsia="仿宋_GB2312" w:cs="Times New Roman"/>
          <w:color w:val="auto"/>
          <w:sz w:val="32"/>
          <w:szCs w:val="32"/>
          <w:highlight w:val="none"/>
          <w:lang w:val="en-US" w:eastAsia="zh-CN"/>
        </w:rPr>
        <w:t>，年产</w:t>
      </w:r>
      <w:r>
        <w:rPr>
          <w:rFonts w:hint="default" w:ascii="Times New Roman" w:hAnsi="Times New Roman" w:eastAsia="仿宋_GB2312" w:cs="Times New Roman"/>
          <w:color w:val="auto"/>
          <w:sz w:val="32"/>
          <w:szCs w:val="32"/>
          <w:highlight w:val="none"/>
          <w:lang w:val="en-US" w:eastAsia="zh-CN"/>
        </w:rPr>
        <w:t>液体肥1万吨。</w:t>
      </w:r>
    </w:p>
    <w:p w14:paraId="64FABDB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lang w:val="en-US" w:eastAsia="zh-CN"/>
        </w:rPr>
        <w:t>本项目总投资</w:t>
      </w:r>
      <w:r>
        <w:rPr>
          <w:rFonts w:hint="eastAsia" w:eastAsia="仿宋_GB2312" w:cs="Times New Roman"/>
          <w:color w:val="auto"/>
          <w:sz w:val="32"/>
          <w:szCs w:val="32"/>
          <w:lang w:val="en-US" w:eastAsia="zh-CN"/>
        </w:rPr>
        <w:t>12000</w:t>
      </w:r>
      <w:r>
        <w:rPr>
          <w:rFonts w:hint="default" w:ascii="Times New Roman" w:hAnsi="Times New Roman" w:eastAsia="仿宋_GB2312" w:cs="Times New Roman"/>
          <w:color w:val="auto"/>
          <w:sz w:val="32"/>
          <w:szCs w:val="32"/>
          <w:lang w:val="en-US" w:eastAsia="zh-CN"/>
        </w:rPr>
        <w:t>万元</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其中</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环保投资</w:t>
      </w:r>
      <w:r>
        <w:rPr>
          <w:rFonts w:hint="eastAsia" w:eastAsia="仿宋_GB2312" w:cs="Times New Roman"/>
          <w:color w:val="auto"/>
          <w:sz w:val="32"/>
          <w:szCs w:val="32"/>
          <w:highlight w:val="none"/>
          <w:lang w:val="en-US" w:eastAsia="zh-CN"/>
        </w:rPr>
        <w:t>81</w:t>
      </w:r>
      <w:r>
        <w:rPr>
          <w:rFonts w:hint="default" w:ascii="Times New Roman" w:hAnsi="Times New Roman" w:eastAsia="仿宋_GB2312" w:cs="Times New Roman"/>
          <w:color w:val="auto"/>
          <w:sz w:val="32"/>
          <w:szCs w:val="32"/>
          <w:highlight w:val="none"/>
          <w:lang w:val="en-US" w:eastAsia="zh-CN"/>
        </w:rPr>
        <w:t>万元，占总投资</w:t>
      </w:r>
      <w:r>
        <w:rPr>
          <w:rFonts w:hint="eastAsia" w:eastAsia="仿宋_GB2312" w:cs="Times New Roman"/>
          <w:color w:val="auto"/>
          <w:sz w:val="32"/>
          <w:szCs w:val="32"/>
          <w:highlight w:val="none"/>
          <w:lang w:val="en-US" w:eastAsia="zh-CN"/>
        </w:rPr>
        <w:t>0.68</w:t>
      </w:r>
      <w:r>
        <w:rPr>
          <w:rFonts w:hint="default"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w:t>
      </w:r>
    </w:p>
    <w:p w14:paraId="0EBDF2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eastAsia" w:eastAsia="仿宋_GB2312" w:cs="Times New Roman"/>
          <w:color w:val="auto"/>
          <w:sz w:val="32"/>
          <w:szCs w:val="32"/>
          <w:lang w:val="en-US" w:eastAsia="zh-CN"/>
        </w:rPr>
        <w:t>二、</w:t>
      </w:r>
      <w:r>
        <w:rPr>
          <w:rFonts w:hint="default" w:ascii="Times New Roman" w:hAnsi="Times New Roman" w:eastAsia="仿宋_GB2312" w:cs="Times New Roman"/>
          <w:color w:val="auto"/>
          <w:sz w:val="32"/>
          <w:szCs w:val="32"/>
          <w:lang w:val="en-US" w:eastAsia="zh-CN"/>
        </w:rPr>
        <w:t>评价结论</w:t>
      </w:r>
    </w:p>
    <w:p w14:paraId="03BF5E8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Style w:val="32"/>
          <w:rFonts w:hint="default" w:ascii="Times New Roman" w:hAnsi="Times New Roman" w:eastAsia="仿宋_GB2312" w:cs="Times New Roman"/>
          <w:b w:val="0"/>
          <w:i w:val="0"/>
          <w:caps w:val="0"/>
          <w:color w:val="000000"/>
          <w:spacing w:val="0"/>
          <w:w w:val="100"/>
          <w:kern w:val="2"/>
          <w:sz w:val="32"/>
          <w:szCs w:val="32"/>
          <w:lang w:val="en-US" w:eastAsia="zh-CN" w:bidi="ar-SA"/>
        </w:rPr>
      </w:pPr>
      <w:r>
        <w:rPr>
          <w:rStyle w:val="32"/>
          <w:rFonts w:hint="default" w:ascii="Times New Roman" w:hAnsi="Times New Roman" w:eastAsia="仿宋_GB2312" w:cs="Times New Roman"/>
          <w:b w:val="0"/>
          <w:i w:val="0"/>
          <w:caps w:val="0"/>
          <w:color w:val="000000"/>
          <w:spacing w:val="0"/>
          <w:w w:val="100"/>
          <w:kern w:val="2"/>
          <w:sz w:val="32"/>
          <w:szCs w:val="32"/>
          <w:lang w:val="en-US" w:eastAsia="zh-CN" w:bidi="ar-SA"/>
        </w:rPr>
        <w:t>在全面落实《报告表》中提出的各项防治生态破坏和环境污染措施的前提下，项目建设对环境的不利影响能够得到缓解和控制。我局原则同意《报告表》中所列建设项目的性质、规模、地点和拟采取的环境保护措施。</w:t>
      </w:r>
    </w:p>
    <w:p w14:paraId="0AB3B389">
      <w:pPr>
        <w:pStyle w:val="34"/>
        <w:keepNext w:val="0"/>
        <w:keepLines w:val="0"/>
        <w:pageBreakBefore w:val="0"/>
        <w:numPr>
          <w:ilvl w:val="0"/>
          <w:numId w:val="0"/>
        </w:numPr>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left="0" w:leftChars="0" w:firstLine="640" w:firstLineChars="200"/>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lang w:val="en-US" w:eastAsia="zh-CN"/>
        </w:rPr>
        <w:t>在项目设计、建设、运营和环境管理中要认真落实《报告</w:t>
      </w:r>
      <w:r>
        <w:rPr>
          <w:rFonts w:hint="default" w:eastAsia="仿宋_GB2312" w:cs="Times New Roman"/>
          <w:color w:val="auto"/>
          <w:sz w:val="32"/>
          <w:szCs w:val="32"/>
          <w:highlight w:val="none"/>
          <w:lang w:val="en-US" w:eastAsia="zh-CN"/>
        </w:rPr>
        <w:t>表</w:t>
      </w:r>
      <w:r>
        <w:rPr>
          <w:rFonts w:hint="default" w:ascii="Times New Roman" w:hAnsi="Times New Roman" w:eastAsia="仿宋_GB2312" w:cs="Times New Roman"/>
          <w:color w:val="auto"/>
          <w:sz w:val="32"/>
          <w:szCs w:val="32"/>
          <w:highlight w:val="none"/>
          <w:lang w:val="en-US" w:eastAsia="zh-CN"/>
        </w:rPr>
        <w:t>》提出的各项环保要求，严格执行环保</w:t>
      </w:r>
      <w:r>
        <w:rPr>
          <w:rFonts w:hint="default"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三同时</w:t>
      </w:r>
      <w:r>
        <w:rPr>
          <w:rFonts w:hint="default"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制度，确保污染物稳定达标排放，并达到以下要求：</w:t>
      </w:r>
    </w:p>
    <w:p w14:paraId="65D47E7B">
      <w:pPr>
        <w:pStyle w:val="15"/>
        <w:keepNext w:val="0"/>
        <w:keepLines w:val="0"/>
        <w:pageBreakBefore w:val="0"/>
        <w:numPr>
          <w:ilvl w:val="0"/>
          <w:numId w:val="0"/>
        </w:numPr>
        <w:kinsoku/>
        <w:wordWrap/>
        <w:overflowPunct/>
        <w:topLinePunct w:val="0"/>
        <w:autoSpaceDE/>
        <w:autoSpaceDN/>
        <w:bidi w:val="0"/>
        <w:adjustRightInd/>
        <w:snapToGrid/>
        <w:spacing w:after="0" w:afterLines="0"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（一）</w:t>
      </w:r>
      <w:r>
        <w:rPr>
          <w:rFonts w:hint="default" w:eastAsia="仿宋_GB2312" w:cs="Times New Roman"/>
          <w:color w:val="auto"/>
          <w:sz w:val="32"/>
          <w:szCs w:val="32"/>
          <w:highlight w:val="none"/>
          <w:lang w:val="en-US" w:eastAsia="zh-CN"/>
        </w:rPr>
        <w:t>落</w:t>
      </w:r>
      <w:r>
        <w:rPr>
          <w:rFonts w:hint="default" w:ascii="Times New Roman" w:hAnsi="Times New Roman" w:eastAsia="仿宋_GB2312" w:cs="Times New Roman"/>
          <w:color w:val="auto"/>
          <w:sz w:val="32"/>
          <w:szCs w:val="32"/>
          <w:highlight w:val="none"/>
          <w:lang w:val="en-US" w:eastAsia="zh-CN"/>
        </w:rPr>
        <w:t>实废气污染防治措施。本项目在上料、包装产尘点设置集气罩，搅拌器设全封闭设备，收集的</w:t>
      </w:r>
      <w:r>
        <w:rPr>
          <w:rFonts w:hint="eastAsia" w:eastAsia="仿宋_GB2312" w:cs="Times New Roman"/>
          <w:color w:val="auto"/>
          <w:sz w:val="32"/>
          <w:szCs w:val="32"/>
          <w:highlight w:val="none"/>
          <w:lang w:val="en-US" w:eastAsia="zh-CN"/>
        </w:rPr>
        <w:t>废气</w:t>
      </w:r>
      <w:r>
        <w:rPr>
          <w:rFonts w:hint="default" w:ascii="Times New Roman" w:hAnsi="Times New Roman" w:eastAsia="仿宋_GB2312" w:cs="Times New Roman"/>
          <w:color w:val="auto"/>
          <w:sz w:val="32"/>
          <w:szCs w:val="32"/>
          <w:highlight w:val="none"/>
          <w:lang w:val="en-US" w:eastAsia="zh-CN"/>
        </w:rPr>
        <w:t>经布袋除尘器处理后，通过15米高排气筒（DA001）排放。颗粒物满足《大气污染物综合排放标准》（GB16297-1996）表2排放标准限值要求。食堂油烟经油烟净化器处理后，通过专用烟道排放，满足《饮食业油烟排放标准（试行）》（GB18483-2001）排放浓度限值要求。</w:t>
      </w:r>
    </w:p>
    <w:p w14:paraId="0ED22447">
      <w:pPr>
        <w:pStyle w:val="15"/>
        <w:keepNext w:val="0"/>
        <w:keepLines w:val="0"/>
        <w:pageBreakBefore w:val="0"/>
        <w:numPr>
          <w:ilvl w:val="0"/>
          <w:numId w:val="0"/>
        </w:numPr>
        <w:kinsoku/>
        <w:wordWrap/>
        <w:overflowPunct/>
        <w:topLinePunct w:val="0"/>
        <w:autoSpaceDE/>
        <w:autoSpaceDN/>
        <w:bidi w:val="0"/>
        <w:adjustRightInd/>
        <w:snapToGrid/>
        <w:spacing w:after="0" w:afterLines="0"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厂界颗粒物排放浓度满足《大气污染物综合排放标准》（GB16297-1996）表2中无组织排放监控浓度限值周界外浓度最高点。</w:t>
      </w:r>
      <w:r>
        <w:rPr>
          <w:rFonts w:hint="eastAsia" w:eastAsia="仿宋_GB2312" w:cs="Times New Roman"/>
          <w:color w:val="auto"/>
          <w:sz w:val="32"/>
          <w:szCs w:val="32"/>
          <w:highlight w:val="none"/>
          <w:lang w:val="en-US" w:eastAsia="zh-CN"/>
        </w:rPr>
        <w:t>污水处理设施</w:t>
      </w:r>
      <w:r>
        <w:rPr>
          <w:rFonts w:hint="default" w:ascii="Times New Roman" w:hAnsi="Times New Roman" w:eastAsia="仿宋_GB2312" w:cs="Times New Roman"/>
          <w:color w:val="auto"/>
          <w:sz w:val="32"/>
          <w:szCs w:val="32"/>
          <w:highlight w:val="none"/>
          <w:lang w:val="en-US" w:eastAsia="zh-CN"/>
        </w:rPr>
        <w:t>氨、硫化氢、臭气浓度满足《恶臭污染物排放标准》（GB14554-93）表1恶臭污染物厂界标准值。</w:t>
      </w:r>
    </w:p>
    <w:p w14:paraId="02B2127C">
      <w:pPr>
        <w:pStyle w:val="15"/>
        <w:keepNext w:val="0"/>
        <w:keepLines w:val="0"/>
        <w:pageBreakBefore w:val="0"/>
        <w:numPr>
          <w:ilvl w:val="0"/>
          <w:numId w:val="0"/>
        </w:numPr>
        <w:kinsoku/>
        <w:wordWrap/>
        <w:overflowPunct/>
        <w:topLinePunct w:val="0"/>
        <w:autoSpaceDE/>
        <w:autoSpaceDN/>
        <w:bidi w:val="0"/>
        <w:adjustRightInd/>
        <w:snapToGrid/>
        <w:spacing w:after="0" w:afterLines="0" w:line="560" w:lineRule="exact"/>
        <w:ind w:firstLine="640" w:firstLineChars="200"/>
        <w:rPr>
          <w:rFonts w:hint="default" w:ascii="Times New Roman" w:hAnsi="Times New Roman" w:eastAsia="仿宋_GB2312" w:cs="Times New Roman"/>
          <w:color w:val="auto"/>
          <w:sz w:val="32"/>
          <w:szCs w:val="32"/>
          <w:highlight w:val="none"/>
          <w:lang w:val="en-US" w:eastAsia="zh-CN"/>
        </w:rPr>
      </w:pPr>
      <w:r>
        <w:rPr>
          <w:rFonts w:hint="default"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en-US" w:eastAsia="zh-CN"/>
        </w:rPr>
        <w:t>落实废水污染防治措施。本项目运营期无生产废水，食堂废水经隔油池</w:t>
      </w:r>
      <w:r>
        <w:rPr>
          <w:rFonts w:hint="eastAsia" w:ascii="Times New Roman" w:hAnsi="Times New Roman" w:eastAsia="仿宋_GB2312" w:cs="Times New Roman"/>
          <w:color w:val="auto"/>
          <w:sz w:val="32"/>
          <w:szCs w:val="32"/>
          <w:highlight w:val="none"/>
          <w:lang w:val="en-US" w:eastAsia="zh-CN"/>
        </w:rPr>
        <w:t>处理</w:t>
      </w:r>
      <w:r>
        <w:rPr>
          <w:rFonts w:hint="default" w:ascii="Times New Roman" w:hAnsi="Times New Roman" w:eastAsia="仿宋_GB2312" w:cs="Times New Roman"/>
          <w:color w:val="auto"/>
          <w:sz w:val="32"/>
          <w:szCs w:val="32"/>
          <w:highlight w:val="none"/>
          <w:lang w:val="en-US" w:eastAsia="zh-CN"/>
        </w:rPr>
        <w:t>后与生活污水一并排入化粪池，最终进入兵团乌鲁木齐工业园污水处理厂处理。满足《污水综合排放标准》（GB8978-1996）</w:t>
      </w:r>
      <w:r>
        <w:rPr>
          <w:rFonts w:hint="eastAsia" w:eastAsia="仿宋_GB2312" w:cs="Times New Roman"/>
          <w:color w:val="auto"/>
          <w:sz w:val="32"/>
          <w:szCs w:val="32"/>
          <w:highlight w:val="none"/>
          <w:lang w:val="en-US" w:eastAsia="zh-CN"/>
        </w:rPr>
        <w:t>表4中</w:t>
      </w:r>
      <w:r>
        <w:rPr>
          <w:rFonts w:hint="default" w:ascii="Times New Roman" w:hAnsi="Times New Roman" w:eastAsia="仿宋_GB2312" w:cs="Times New Roman"/>
          <w:color w:val="auto"/>
          <w:sz w:val="32"/>
          <w:szCs w:val="32"/>
          <w:highlight w:val="none"/>
          <w:lang w:val="en-US" w:eastAsia="zh-CN"/>
        </w:rPr>
        <w:t>三级标准要求。</w:t>
      </w:r>
    </w:p>
    <w:p w14:paraId="463A6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pacing w:val="0"/>
          <w:sz w:val="32"/>
          <w:szCs w:val="32"/>
          <w:highlight w:val="none"/>
          <w:u w:val="none" w:color="auto"/>
          <w:lang w:val="en-US" w:eastAsia="zh-CN"/>
        </w:rPr>
      </w:pPr>
      <w:r>
        <w:rPr>
          <w:rFonts w:hint="default" w:ascii="Times New Roman" w:hAnsi="Times New Roman" w:eastAsia="仿宋_GB2312" w:cs="Times New Roman"/>
          <w:color w:val="auto"/>
          <w:sz w:val="32"/>
          <w:szCs w:val="32"/>
          <w:highlight w:val="none"/>
          <w:u w:val="none"/>
          <w:lang w:val="en-US" w:eastAsia="zh-CN"/>
        </w:rPr>
        <w:t>（三）</w:t>
      </w:r>
      <w:r>
        <w:rPr>
          <w:rFonts w:hint="default" w:ascii="Times New Roman" w:hAnsi="Times New Roman" w:eastAsia="仿宋_GB2312" w:cs="Times New Roman"/>
          <w:color w:val="auto"/>
          <w:spacing w:val="0"/>
          <w:sz w:val="32"/>
          <w:szCs w:val="32"/>
          <w:highlight w:val="none"/>
          <w:u w:val="none" w:color="auto"/>
          <w:lang w:val="en-US" w:eastAsia="zh-CN"/>
        </w:rPr>
        <w:t>落实噪声污染防治措施</w:t>
      </w:r>
      <w:r>
        <w:rPr>
          <w:rFonts w:hint="eastAsia" w:eastAsia="仿宋_GB2312"/>
          <w:spacing w:val="-10"/>
          <w:sz w:val="32"/>
          <w:szCs w:val="32"/>
          <w:u w:val="none" w:color="000000"/>
        </w:rPr>
        <w:t>。</w:t>
      </w:r>
      <w:r>
        <w:rPr>
          <w:rFonts w:hint="default" w:ascii="Times New Roman" w:hAnsi="Times New Roman" w:eastAsia="仿宋_GB2312" w:cs="Times New Roman"/>
          <w:color w:val="auto"/>
          <w:spacing w:val="0"/>
          <w:sz w:val="32"/>
          <w:szCs w:val="32"/>
          <w:highlight w:val="none"/>
          <w:u w:val="none" w:color="auto"/>
          <w:lang w:val="en-US" w:eastAsia="zh-CN"/>
        </w:rPr>
        <w:t>本项目运营期噪声源主要为无尘投料站、皮带输送机等设备产生的机械噪声等。采取减振、隔声，加强厂区绿化等措施。满足《工业企业厂界环境噪声排放标准》（GB12348-2008）中的</w:t>
      </w:r>
      <w:r>
        <w:rPr>
          <w:rFonts w:hint="eastAsia" w:eastAsia="仿宋_GB2312" w:cs="Times New Roman"/>
          <w:color w:val="auto"/>
          <w:spacing w:val="0"/>
          <w:sz w:val="32"/>
          <w:szCs w:val="32"/>
          <w:highlight w:val="none"/>
          <w:u w:val="none" w:color="auto"/>
          <w:lang w:val="en-US" w:eastAsia="zh-CN"/>
        </w:rPr>
        <w:t>3</w:t>
      </w:r>
      <w:r>
        <w:rPr>
          <w:rFonts w:hint="default" w:ascii="Times New Roman" w:hAnsi="Times New Roman" w:eastAsia="仿宋_GB2312" w:cs="Times New Roman"/>
          <w:color w:val="auto"/>
          <w:spacing w:val="0"/>
          <w:sz w:val="32"/>
          <w:szCs w:val="32"/>
          <w:highlight w:val="none"/>
          <w:u w:val="none" w:color="auto"/>
          <w:lang w:val="en-US" w:eastAsia="zh-CN"/>
        </w:rPr>
        <w:t>类标准要求。</w:t>
      </w:r>
    </w:p>
    <w:p w14:paraId="62A2C6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（四）落实固废污染防治措施。本项目废弃包装袋收集后外售</w:t>
      </w:r>
      <w:r>
        <w:rPr>
          <w:rFonts w:hint="eastAsia" w:eastAsia="仿宋_GB2312" w:cs="Times New Roman"/>
          <w:color w:val="auto"/>
          <w:sz w:val="32"/>
          <w:szCs w:val="32"/>
          <w:highlight w:val="none"/>
          <w:u w:val="none"/>
          <w:lang w:val="en-US" w:eastAsia="zh-CN"/>
        </w:rPr>
        <w:t>废品</w:t>
      </w:r>
      <w:r>
        <w:rPr>
          <w:rFonts w:hint="default" w:ascii="Times New Roman" w:hAnsi="Times New Roman" w:eastAsia="仿宋_GB2312" w:cs="Times New Roman"/>
          <w:color w:val="auto"/>
          <w:sz w:val="32"/>
          <w:szCs w:val="32"/>
          <w:highlight w:val="none"/>
          <w:u w:val="none"/>
          <w:lang w:val="en-US" w:eastAsia="zh-CN"/>
        </w:rPr>
        <w:t>回收企业。化粪池污泥抽运至兵团乌鲁木齐工业园区污水处理厂处理。布袋除尘器粉尘回用于液体肥生产线。生活垃圾经垃圾桶收集后</w:t>
      </w:r>
      <w:r>
        <w:rPr>
          <w:rFonts w:hint="eastAsia" w:eastAsia="仿宋_GB2312" w:cs="Times New Roman"/>
          <w:color w:val="auto"/>
          <w:sz w:val="32"/>
          <w:szCs w:val="32"/>
          <w:highlight w:val="none"/>
          <w:u w:val="none"/>
          <w:lang w:val="en-US" w:eastAsia="zh-CN"/>
        </w:rPr>
        <w:t>，由当地环卫部门统一清运处理。</w:t>
      </w:r>
    </w:p>
    <w:p w14:paraId="79FDB2F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szCs w:val="32"/>
          <w:highlight w:val="none"/>
          <w:u w:val="none"/>
          <w:lang w:val="en-US" w:eastAsia="zh-CN"/>
        </w:rPr>
      </w:pPr>
      <w:r>
        <w:rPr>
          <w:rFonts w:hint="default" w:ascii="Times New Roman" w:hAnsi="Times New Roman" w:eastAsia="仿宋_GB2312" w:cs="Times New Roman"/>
          <w:color w:val="auto"/>
          <w:sz w:val="32"/>
          <w:szCs w:val="32"/>
          <w:highlight w:val="none"/>
          <w:u w:val="none"/>
          <w:lang w:val="en-US" w:eastAsia="zh-CN"/>
        </w:rPr>
        <w:t>废机油、废油桶</w:t>
      </w:r>
      <w:r>
        <w:rPr>
          <w:rFonts w:hint="eastAsia" w:eastAsia="仿宋_GB2312" w:cs="Times New Roman"/>
          <w:color w:val="auto"/>
          <w:sz w:val="32"/>
          <w:szCs w:val="32"/>
          <w:highlight w:val="none"/>
          <w:u w:val="none"/>
          <w:lang w:val="en-US" w:eastAsia="zh-CN"/>
        </w:rPr>
        <w:t>、</w:t>
      </w:r>
      <w:r>
        <w:rPr>
          <w:rFonts w:hint="default" w:ascii="Times New Roman" w:hAnsi="Times New Roman" w:eastAsia="仿宋_GB2312" w:cs="Times New Roman"/>
          <w:color w:val="auto"/>
          <w:sz w:val="32"/>
          <w:szCs w:val="32"/>
          <w:highlight w:val="none"/>
          <w:u w:val="none"/>
          <w:lang w:val="en-US" w:eastAsia="zh-CN"/>
        </w:rPr>
        <w:t>含油抹布分类收集后分区暂存于危险废物贮存</w:t>
      </w:r>
      <w:r>
        <w:rPr>
          <w:rFonts w:hint="eastAsia" w:ascii="Times New Roman" w:hAnsi="Times New Roman" w:eastAsia="仿宋_GB2312" w:cs="Times New Roman"/>
          <w:color w:val="auto"/>
          <w:sz w:val="32"/>
          <w:szCs w:val="32"/>
          <w:highlight w:val="none"/>
          <w:u w:val="none"/>
          <w:lang w:val="en-US" w:eastAsia="zh-CN"/>
        </w:rPr>
        <w:t>间</w:t>
      </w:r>
      <w:r>
        <w:rPr>
          <w:rFonts w:hint="default" w:ascii="Times New Roman" w:hAnsi="Times New Roman" w:eastAsia="仿宋_GB2312" w:cs="Times New Roman"/>
          <w:color w:val="auto"/>
          <w:sz w:val="32"/>
          <w:szCs w:val="32"/>
          <w:highlight w:val="none"/>
          <w:u w:val="none"/>
          <w:lang w:val="en-US" w:eastAsia="zh-CN"/>
        </w:rPr>
        <w:t>，定期委托有危废处置资质的单位处置。危废贮存</w:t>
      </w:r>
      <w:r>
        <w:rPr>
          <w:rFonts w:hint="eastAsia" w:eastAsia="仿宋_GB2312" w:cs="Times New Roman"/>
          <w:color w:val="auto"/>
          <w:sz w:val="32"/>
          <w:szCs w:val="32"/>
          <w:highlight w:val="none"/>
          <w:u w:val="none"/>
          <w:lang w:val="en-US" w:eastAsia="zh-CN"/>
        </w:rPr>
        <w:t>间</w:t>
      </w:r>
      <w:r>
        <w:rPr>
          <w:rFonts w:hint="default" w:ascii="Times New Roman" w:hAnsi="Times New Roman" w:eastAsia="仿宋_GB2312" w:cs="Times New Roman"/>
          <w:color w:val="auto"/>
          <w:sz w:val="32"/>
          <w:szCs w:val="32"/>
          <w:highlight w:val="none"/>
          <w:u w:val="none"/>
          <w:lang w:val="en-US" w:eastAsia="zh-CN"/>
        </w:rPr>
        <w:t>按照《危险废物贮存污染控制标准》（GB18597-2023）的要求建设。</w:t>
      </w:r>
    </w:p>
    <w:p w14:paraId="542083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（五）加强项目环境风险防范。建立严格的环境风险管理制度，认真落实报告表提出的各项风险防范措施</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编制《突发环境事件应急预案》报生态环境主管部门备案</w:t>
      </w:r>
      <w:r>
        <w:rPr>
          <w:rFonts w:hint="eastAsia"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定期开展突发环境事件应急演练，及时对环境应急预案进行完善。</w:t>
      </w:r>
    </w:p>
    <w:p w14:paraId="28B78F6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四、项目建设应严格执行配套建设的环境保护设施与主体工程同时设计、同时施工、同时投产使用的“三同时”制度。环境影响报告表批准后，项目的性质、规模、地点或生态保护、污染防治措施发生重大变动的，应当按要求重新报批环境影响评价文件。自批准之日起超过5年方决定该项目开工建设的，其环评文件应当报我局重新审核。项目竣工后正式运营前，根据《排污许可管理条例》依法办理排污许可手续，并对配套建设的环境保护设施进行验收，经验收合格后，项目方可投入运行。</w:t>
      </w:r>
    </w:p>
    <w:p w14:paraId="38EFFD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五、十二师生态环境保护综合行政执法支队和项目所属辖区环境管理部门负责“三同时”监督检查和日常监管工作。你单位应在收到本批复20个工作日内，将批准后的环境影响报告表及批复分送以上监督管理机构，并按规定接受监督检查。</w:t>
      </w:r>
    </w:p>
    <w:p w14:paraId="6AAC0A96">
      <w:pPr>
        <w:keepNext w:val="0"/>
        <w:keepLines w:val="0"/>
        <w:pageBreakBefore w:val="0"/>
        <w:kinsoku/>
        <w:wordWrap/>
        <w:overflowPunct/>
        <w:topLinePunct w:val="0"/>
        <w:autoSpaceDE/>
        <w:autoSpaceDN/>
        <w:bidi w:val="0"/>
        <w:adjustRightInd/>
        <w:snapToGrid/>
        <w:spacing w:line="560" w:lineRule="exact"/>
        <w:rPr>
          <w:rFonts w:hint="default"/>
          <w:lang w:val="en-US" w:eastAsia="zh-CN"/>
        </w:rPr>
      </w:pPr>
    </w:p>
    <w:p w14:paraId="2EC11EB8">
      <w:pPr>
        <w:pStyle w:val="19"/>
        <w:rPr>
          <w:rFonts w:hint="default"/>
          <w:lang w:val="en-US" w:eastAsia="zh-CN"/>
        </w:rPr>
      </w:pPr>
      <w:bookmarkStart w:id="0" w:name="_GoBack"/>
      <w:bookmarkEnd w:id="0"/>
    </w:p>
    <w:sectPr>
      <w:footerReference r:id="rId3" w:type="default"/>
      <w:pgSz w:w="11906" w:h="16838"/>
      <w:pgMar w:top="2098" w:right="1474" w:bottom="1984"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03820602-A834-4EE9-B4BD-73510345A92C}"/>
  </w:font>
  <w:font w:name="Arial Unicode MS">
    <w:altName w:val="宋体"/>
    <w:panose1 w:val="020B0604020202020204"/>
    <w:charset w:val="86"/>
    <w:family w:val="roman"/>
    <w:pitch w:val="default"/>
    <w:sig w:usb0="00000000" w:usb1="00000000" w:usb2="0000003F" w:usb3="00000000" w:csb0="603F01FF" w:csb1="FFFF0000"/>
  </w:font>
  <w:font w:name="方正小标宋简体">
    <w:panose1 w:val="03000509000000000000"/>
    <w:charset w:val="86"/>
    <w:family w:val="auto"/>
    <w:pitch w:val="default"/>
    <w:sig w:usb0="00000001" w:usb1="080E0000" w:usb2="00000000" w:usb3="00000000" w:csb0="00040000" w:csb1="00000000"/>
    <w:embedRegular r:id="rId2" w:fontKey="{7E7BB6A5-7674-4B94-A8DD-F5E59D411715}"/>
  </w:font>
  <w:font w:name="WPSEMBED21">
    <w:panose1 w:val="02010609030101010101"/>
    <w:charset w:val="86"/>
    <w:family w:val="auto"/>
    <w:pitch w:val="default"/>
    <w:sig w:usb0="00000001" w:usb1="080E0000" w:usb2="00000000" w:usb3="00000000" w:csb0="00040000" w:csb1="00000000"/>
  </w:font>
  <w:font w:name="WPSEMBED22">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2C3E2A">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C57C9A">
                          <w:pPr>
                            <w:pStyle w:val="10"/>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DC57C9A">
                    <w:pPr>
                      <w:pStyle w:val="10"/>
                      <w:rPr>
                        <w:rFonts w:hint="eastAsia" w:eastAsia="宋体"/>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243479"/>
    <w:multiLevelType w:val="multilevel"/>
    <w:tmpl w:val="98243479"/>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pStyle w:val="3"/>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4B6B1761"/>
    <w:multiLevelType w:val="singleLevel"/>
    <w:tmpl w:val="4B6B1761"/>
    <w:lvl w:ilvl="0" w:tentative="0">
      <w:start w:val="1"/>
      <w:numFmt w:val="bullet"/>
      <w:pStyle w:val="7"/>
      <w:lvlText w:val=""/>
      <w:lvlJc w:val="left"/>
      <w:pPr>
        <w:tabs>
          <w:tab w:val="left" w:pos="2040"/>
        </w:tabs>
        <w:ind w:left="204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MxY2U3ODBlY2MzNDk5YmZlMmU4ZDNlYTA3MjRjNjYifQ=="/>
    <w:docVar w:name="KSO_WPS_MARK_KEY" w:val="78d1c1cb-527e-4026-8f9a-c7cbb82ce8a0"/>
  </w:docVars>
  <w:rsids>
    <w:rsidRoot w:val="209C6FB6"/>
    <w:rsid w:val="000B7C11"/>
    <w:rsid w:val="003B507B"/>
    <w:rsid w:val="01954E03"/>
    <w:rsid w:val="02A5264F"/>
    <w:rsid w:val="0303427A"/>
    <w:rsid w:val="03343D40"/>
    <w:rsid w:val="036B03E5"/>
    <w:rsid w:val="03B818B8"/>
    <w:rsid w:val="0418546F"/>
    <w:rsid w:val="0431202E"/>
    <w:rsid w:val="04343F9F"/>
    <w:rsid w:val="049F51EA"/>
    <w:rsid w:val="04B54A0D"/>
    <w:rsid w:val="04B930B4"/>
    <w:rsid w:val="053613BF"/>
    <w:rsid w:val="073B0880"/>
    <w:rsid w:val="07592C22"/>
    <w:rsid w:val="076E74DB"/>
    <w:rsid w:val="07B57050"/>
    <w:rsid w:val="07DD39B1"/>
    <w:rsid w:val="09A65D5E"/>
    <w:rsid w:val="0A010824"/>
    <w:rsid w:val="0A300945"/>
    <w:rsid w:val="0BB14E81"/>
    <w:rsid w:val="0BC57258"/>
    <w:rsid w:val="0BDF05C2"/>
    <w:rsid w:val="0C211C5A"/>
    <w:rsid w:val="0DA67DA3"/>
    <w:rsid w:val="0DC736EF"/>
    <w:rsid w:val="0DE620DB"/>
    <w:rsid w:val="0E3A5F83"/>
    <w:rsid w:val="0E9B4DA8"/>
    <w:rsid w:val="0EA801FA"/>
    <w:rsid w:val="0F355C67"/>
    <w:rsid w:val="10705587"/>
    <w:rsid w:val="10A4745D"/>
    <w:rsid w:val="110E093A"/>
    <w:rsid w:val="1130362F"/>
    <w:rsid w:val="11B421A5"/>
    <w:rsid w:val="12404419"/>
    <w:rsid w:val="12C64D9E"/>
    <w:rsid w:val="132F6CC0"/>
    <w:rsid w:val="1483206F"/>
    <w:rsid w:val="14FD529D"/>
    <w:rsid w:val="152E726E"/>
    <w:rsid w:val="15447BCF"/>
    <w:rsid w:val="15B71C1A"/>
    <w:rsid w:val="16362036"/>
    <w:rsid w:val="17712A16"/>
    <w:rsid w:val="17FD79ED"/>
    <w:rsid w:val="184A2555"/>
    <w:rsid w:val="185B5474"/>
    <w:rsid w:val="1A1B029D"/>
    <w:rsid w:val="1B616AD1"/>
    <w:rsid w:val="1BA54230"/>
    <w:rsid w:val="1BDC1A17"/>
    <w:rsid w:val="1C461DE1"/>
    <w:rsid w:val="1CAE56BC"/>
    <w:rsid w:val="1CE957F4"/>
    <w:rsid w:val="1D37451A"/>
    <w:rsid w:val="1E353BDB"/>
    <w:rsid w:val="1E3D7AF5"/>
    <w:rsid w:val="1EDF0A99"/>
    <w:rsid w:val="1F6B0692"/>
    <w:rsid w:val="1F811721"/>
    <w:rsid w:val="1F8F686F"/>
    <w:rsid w:val="1FC030C2"/>
    <w:rsid w:val="20186416"/>
    <w:rsid w:val="20232162"/>
    <w:rsid w:val="20920B1E"/>
    <w:rsid w:val="209C6FB6"/>
    <w:rsid w:val="21A71CFD"/>
    <w:rsid w:val="21EE2624"/>
    <w:rsid w:val="21F82AD7"/>
    <w:rsid w:val="22FC519D"/>
    <w:rsid w:val="23D77FA4"/>
    <w:rsid w:val="24197569"/>
    <w:rsid w:val="241C517E"/>
    <w:rsid w:val="24DF43F3"/>
    <w:rsid w:val="277C3179"/>
    <w:rsid w:val="27A72484"/>
    <w:rsid w:val="27B950AC"/>
    <w:rsid w:val="27D77E95"/>
    <w:rsid w:val="28B30D34"/>
    <w:rsid w:val="28CD6852"/>
    <w:rsid w:val="2A043D84"/>
    <w:rsid w:val="2A3D5940"/>
    <w:rsid w:val="2A9A61BF"/>
    <w:rsid w:val="2B14749E"/>
    <w:rsid w:val="2BB20A80"/>
    <w:rsid w:val="2C526A72"/>
    <w:rsid w:val="2C6F3531"/>
    <w:rsid w:val="2D473EFE"/>
    <w:rsid w:val="2E1413FF"/>
    <w:rsid w:val="2E2928EF"/>
    <w:rsid w:val="31C250C8"/>
    <w:rsid w:val="323B7709"/>
    <w:rsid w:val="32CB48A0"/>
    <w:rsid w:val="33C66FC5"/>
    <w:rsid w:val="342D0001"/>
    <w:rsid w:val="35377AB9"/>
    <w:rsid w:val="353B1465"/>
    <w:rsid w:val="35796375"/>
    <w:rsid w:val="36356EAC"/>
    <w:rsid w:val="37130FE3"/>
    <w:rsid w:val="37360960"/>
    <w:rsid w:val="378857B3"/>
    <w:rsid w:val="378C012D"/>
    <w:rsid w:val="37982D8A"/>
    <w:rsid w:val="37ED6CAA"/>
    <w:rsid w:val="38421659"/>
    <w:rsid w:val="394207DB"/>
    <w:rsid w:val="3A157721"/>
    <w:rsid w:val="3A1B478A"/>
    <w:rsid w:val="3A7A6DCD"/>
    <w:rsid w:val="3B56320E"/>
    <w:rsid w:val="3B702097"/>
    <w:rsid w:val="3C457435"/>
    <w:rsid w:val="3CD13EDB"/>
    <w:rsid w:val="3E407CE8"/>
    <w:rsid w:val="3EFC3218"/>
    <w:rsid w:val="408D1F7C"/>
    <w:rsid w:val="409F2D25"/>
    <w:rsid w:val="40FA08B9"/>
    <w:rsid w:val="41481ED3"/>
    <w:rsid w:val="41E753CB"/>
    <w:rsid w:val="42141B9B"/>
    <w:rsid w:val="426A7BCE"/>
    <w:rsid w:val="43611640"/>
    <w:rsid w:val="440C3582"/>
    <w:rsid w:val="448434D9"/>
    <w:rsid w:val="457C4008"/>
    <w:rsid w:val="46821C9A"/>
    <w:rsid w:val="46C40A3A"/>
    <w:rsid w:val="4735463A"/>
    <w:rsid w:val="47A05AAA"/>
    <w:rsid w:val="483671E0"/>
    <w:rsid w:val="493A685C"/>
    <w:rsid w:val="494C3228"/>
    <w:rsid w:val="496F3E8B"/>
    <w:rsid w:val="4AEF475E"/>
    <w:rsid w:val="4B3B3D3D"/>
    <w:rsid w:val="4C1D505D"/>
    <w:rsid w:val="4C54265C"/>
    <w:rsid w:val="4C935F3D"/>
    <w:rsid w:val="4CB30DFF"/>
    <w:rsid w:val="4CCC0113"/>
    <w:rsid w:val="4DBA3B17"/>
    <w:rsid w:val="4E497B5F"/>
    <w:rsid w:val="4EC1212C"/>
    <w:rsid w:val="4EE6170D"/>
    <w:rsid w:val="51A62C6F"/>
    <w:rsid w:val="51E8156B"/>
    <w:rsid w:val="522C7607"/>
    <w:rsid w:val="550B1D3D"/>
    <w:rsid w:val="559F61B5"/>
    <w:rsid w:val="55F77DDF"/>
    <w:rsid w:val="56466840"/>
    <w:rsid w:val="56982E14"/>
    <w:rsid w:val="573617D2"/>
    <w:rsid w:val="578034B6"/>
    <w:rsid w:val="57FD08D3"/>
    <w:rsid w:val="5804638F"/>
    <w:rsid w:val="58635A95"/>
    <w:rsid w:val="58AC6A92"/>
    <w:rsid w:val="5902641E"/>
    <w:rsid w:val="5A0C7A0D"/>
    <w:rsid w:val="5B107A78"/>
    <w:rsid w:val="5B5201FC"/>
    <w:rsid w:val="5BF20882"/>
    <w:rsid w:val="5C9556DA"/>
    <w:rsid w:val="5CB5471F"/>
    <w:rsid w:val="5CE96177"/>
    <w:rsid w:val="5D4B0BE0"/>
    <w:rsid w:val="5D975035"/>
    <w:rsid w:val="5E8667BF"/>
    <w:rsid w:val="5F0A7158"/>
    <w:rsid w:val="5FA01104"/>
    <w:rsid w:val="61535B0A"/>
    <w:rsid w:val="616B35FF"/>
    <w:rsid w:val="61ED1CAB"/>
    <w:rsid w:val="632C5E80"/>
    <w:rsid w:val="633839B4"/>
    <w:rsid w:val="637F05E7"/>
    <w:rsid w:val="63E1404C"/>
    <w:rsid w:val="6436423C"/>
    <w:rsid w:val="646B3552"/>
    <w:rsid w:val="652303E3"/>
    <w:rsid w:val="678A222B"/>
    <w:rsid w:val="67D113D6"/>
    <w:rsid w:val="67E956CD"/>
    <w:rsid w:val="68A87B77"/>
    <w:rsid w:val="68D922DD"/>
    <w:rsid w:val="69E6594B"/>
    <w:rsid w:val="69ED55BD"/>
    <w:rsid w:val="6A9A30D8"/>
    <w:rsid w:val="6AB26975"/>
    <w:rsid w:val="6AE544EF"/>
    <w:rsid w:val="6B923E7E"/>
    <w:rsid w:val="6C9C3206"/>
    <w:rsid w:val="6CF32868"/>
    <w:rsid w:val="6D1A3FF7"/>
    <w:rsid w:val="6DD8026E"/>
    <w:rsid w:val="6F72024E"/>
    <w:rsid w:val="6FFE1AE2"/>
    <w:rsid w:val="723E2669"/>
    <w:rsid w:val="738C16D6"/>
    <w:rsid w:val="73BC2374"/>
    <w:rsid w:val="740718AD"/>
    <w:rsid w:val="743374C1"/>
    <w:rsid w:val="74E42CE2"/>
    <w:rsid w:val="75114B05"/>
    <w:rsid w:val="755C6E6D"/>
    <w:rsid w:val="76123086"/>
    <w:rsid w:val="7666465D"/>
    <w:rsid w:val="76F8372F"/>
    <w:rsid w:val="77B016F4"/>
    <w:rsid w:val="77CC387B"/>
    <w:rsid w:val="77EA1CD8"/>
    <w:rsid w:val="790E0FE8"/>
    <w:rsid w:val="797B56E2"/>
    <w:rsid w:val="79A4094F"/>
    <w:rsid w:val="7AAB3520"/>
    <w:rsid w:val="7C555D07"/>
    <w:rsid w:val="7C7F037E"/>
    <w:rsid w:val="7DF671D6"/>
    <w:rsid w:val="7E2E1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iPriority="99"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2"/>
    <w:qFormat/>
    <w:uiPriority w:val="0"/>
    <w:pPr>
      <w:jc w:val="both"/>
      <w:textAlignment w:val="baseline"/>
    </w:pPr>
    <w:rPr>
      <w:rFonts w:ascii="Times New Roman" w:hAnsi="Times New Roman" w:eastAsia="宋体" w:cstheme="minorBidi"/>
      <w:kern w:val="2"/>
      <w:sz w:val="21"/>
      <w:szCs w:val="24"/>
      <w:lang w:val="en-US" w:eastAsia="zh-CN" w:bidi="ar-SA"/>
    </w:rPr>
  </w:style>
  <w:style w:type="paragraph" w:styleId="2">
    <w:name w:val="heading 3"/>
    <w:basedOn w:val="1"/>
    <w:next w:val="1"/>
    <w:qFormat/>
    <w:uiPriority w:val="0"/>
    <w:pPr>
      <w:keepNext/>
      <w:keepLines/>
      <w:spacing w:line="360" w:lineRule="auto"/>
      <w:outlineLvl w:val="2"/>
    </w:pPr>
    <w:rPr>
      <w:b/>
      <w:bCs/>
      <w:sz w:val="24"/>
      <w:szCs w:val="32"/>
    </w:rPr>
  </w:style>
  <w:style w:type="paragraph" w:styleId="3">
    <w:name w:val="heading 5"/>
    <w:basedOn w:val="1"/>
    <w:next w:val="1"/>
    <w:unhideWhenUsed/>
    <w:qFormat/>
    <w:uiPriority w:val="9"/>
    <w:pPr>
      <w:keepNext/>
      <w:keepLines/>
      <w:numPr>
        <w:ilvl w:val="4"/>
        <w:numId w:val="1"/>
      </w:numPr>
      <w:spacing w:before="50" w:beforeLines="50"/>
      <w:outlineLvl w:val="4"/>
    </w:p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0"/>
    <w:pPr>
      <w:ind w:firstLine="420"/>
    </w:pPr>
  </w:style>
  <w:style w:type="paragraph" w:styleId="5">
    <w:name w:val="annotation text"/>
    <w:basedOn w:val="1"/>
    <w:qFormat/>
    <w:uiPriority w:val="0"/>
    <w:pPr>
      <w:jc w:val="left"/>
    </w:pPr>
  </w:style>
  <w:style w:type="paragraph" w:styleId="6">
    <w:name w:val="Body Text"/>
    <w:basedOn w:val="1"/>
    <w:next w:val="7"/>
    <w:qFormat/>
    <w:uiPriority w:val="99"/>
    <w:pPr>
      <w:autoSpaceDE w:val="0"/>
      <w:autoSpaceDN w:val="0"/>
      <w:adjustRightInd w:val="0"/>
      <w:snapToGrid w:val="0"/>
      <w:spacing w:line="580" w:lineRule="exact"/>
      <w:textAlignment w:val="baseline"/>
    </w:pPr>
    <w:rPr>
      <w:rFonts w:ascii="仿宋_GB2312" w:eastAsia="仿宋_GB2312"/>
      <w:spacing w:val="-20"/>
      <w:kern w:val="0"/>
      <w:sz w:val="32"/>
      <w:szCs w:val="20"/>
    </w:rPr>
  </w:style>
  <w:style w:type="paragraph" w:styleId="7">
    <w:name w:val="List Bullet 5"/>
    <w:basedOn w:val="1"/>
    <w:qFormat/>
    <w:uiPriority w:val="0"/>
    <w:pPr>
      <w:numPr>
        <w:ilvl w:val="0"/>
        <w:numId w:val="2"/>
      </w:numPr>
    </w:pPr>
  </w:style>
  <w:style w:type="paragraph" w:styleId="8">
    <w:name w:val="Body Text Indent"/>
    <w:basedOn w:val="1"/>
    <w:next w:val="1"/>
    <w:qFormat/>
    <w:uiPriority w:val="0"/>
    <w:pPr>
      <w:spacing w:after="120" w:afterLines="0" w:afterAutospacing="0"/>
      <w:ind w:left="420" w:leftChars="200"/>
    </w:pPr>
  </w:style>
  <w:style w:type="paragraph" w:styleId="9">
    <w:name w:val="Body Text Indent 2"/>
    <w:basedOn w:val="1"/>
    <w:qFormat/>
    <w:uiPriority w:val="0"/>
    <w:pPr>
      <w:snapToGrid w:val="0"/>
      <w:spacing w:line="420" w:lineRule="exact"/>
      <w:ind w:firstLine="480"/>
    </w:pPr>
    <w:rPr>
      <w:sz w:val="24"/>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List"/>
    <w:basedOn w:val="1"/>
    <w:next w:val="1"/>
    <w:semiHidden/>
    <w:unhideWhenUsed/>
    <w:qFormat/>
    <w:uiPriority w:val="99"/>
    <w:pPr>
      <w:ind w:left="200" w:hanging="200" w:hangingChars="200"/>
    </w:pPr>
  </w:style>
  <w:style w:type="paragraph" w:styleId="13">
    <w:name w:val="table of figures"/>
    <w:basedOn w:val="1"/>
    <w:next w:val="1"/>
    <w:qFormat/>
    <w:uiPriority w:val="0"/>
    <w:pPr>
      <w:autoSpaceDE w:val="0"/>
      <w:autoSpaceDN w:val="0"/>
      <w:spacing w:line="240" w:lineRule="auto"/>
      <w:ind w:firstLine="0" w:firstLineChars="0"/>
      <w:jc w:val="center"/>
    </w:pPr>
    <w:rPr>
      <w:b/>
      <w:bCs/>
      <w:iCs/>
    </w:rPr>
  </w:style>
  <w:style w:type="paragraph" w:styleId="14">
    <w:name w:val="Body Text First Indent"/>
    <w:basedOn w:val="6"/>
    <w:qFormat/>
    <w:uiPriority w:val="0"/>
  </w:style>
  <w:style w:type="paragraph" w:styleId="15">
    <w:name w:val="Body Text First Indent 2"/>
    <w:basedOn w:val="8"/>
    <w:next w:val="14"/>
    <w:qFormat/>
    <w:uiPriority w:val="0"/>
    <w:pPr>
      <w:ind w:firstLine="420" w:firstLineChars="200"/>
    </w:p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Char"/>
    <w:qFormat/>
    <w:uiPriority w:val="0"/>
    <w:pPr>
      <w:widowControl w:val="0"/>
      <w:overflowPunct w:val="0"/>
      <w:snapToGrid w:val="0"/>
      <w:spacing w:line="360" w:lineRule="auto"/>
      <w:ind w:firstLine="480" w:firstLineChars="200"/>
    </w:pPr>
    <w:rPr>
      <w:rFonts w:ascii="仿宋_GB2312" w:hAnsi="宋体" w:eastAsia="仿宋_GB2312" w:cs="Times New Roman"/>
      <w:snapToGrid w:val="0"/>
      <w:sz w:val="24"/>
      <w:szCs w:val="24"/>
      <w:lang w:val="en-US" w:eastAsia="zh-CN" w:bidi="ar-SA"/>
    </w:rPr>
  </w:style>
  <w:style w:type="paragraph" w:customStyle="1" w:styleId="20">
    <w:name w:val="样式 首行缩进:  2 字符1"/>
    <w:basedOn w:val="1"/>
    <w:qFormat/>
    <w:uiPriority w:val="0"/>
    <w:pPr>
      <w:spacing w:before="120" w:line="400" w:lineRule="exact"/>
      <w:ind w:firstLine="200" w:firstLineChars="200"/>
    </w:pPr>
    <w:rPr>
      <w:sz w:val="24"/>
      <w:szCs w:val="20"/>
    </w:rPr>
  </w:style>
  <w:style w:type="paragraph" w:customStyle="1" w:styleId="21">
    <w:name w:val="Default"/>
    <w:basedOn w:val="22"/>
    <w:next w:val="1"/>
    <w:qFormat/>
    <w:uiPriority w:val="0"/>
    <w:pPr>
      <w:widowControl w:val="0"/>
      <w:tabs>
        <w:tab w:val="left" w:pos="1845"/>
      </w:tabs>
      <w:autoSpaceDE w:val="0"/>
      <w:autoSpaceDN w:val="0"/>
      <w:adjustRightInd w:val="0"/>
    </w:pPr>
    <w:rPr>
      <w:rFonts w:ascii="宋体" w:cs="宋体"/>
      <w:color w:val="000000"/>
      <w:sz w:val="24"/>
      <w:szCs w:val="24"/>
      <w:lang w:val="en-US" w:eastAsia="zh-CN" w:bidi="ar-SA"/>
    </w:rPr>
  </w:style>
  <w:style w:type="paragraph" w:customStyle="1" w:styleId="22">
    <w:name w:val="纯文本1"/>
    <w:basedOn w:val="23"/>
    <w:qFormat/>
    <w:uiPriority w:val="0"/>
    <w:pPr>
      <w:tabs>
        <w:tab w:val="left" w:pos="1845"/>
      </w:tabs>
      <w:spacing w:line="240" w:lineRule="exact"/>
      <w:jc w:val="center"/>
    </w:pPr>
    <w:rPr>
      <w:sz w:val="18"/>
    </w:rPr>
  </w:style>
  <w:style w:type="paragraph" w:customStyle="1" w:styleId="23">
    <w:name w:val="正文_0"/>
    <w:next w:val="22"/>
    <w:qFormat/>
    <w:uiPriority w:val="0"/>
    <w:pPr>
      <w:widowControl w:val="0"/>
      <w:jc w:val="both"/>
    </w:pPr>
    <w:rPr>
      <w:rFonts w:ascii="Calibri" w:hAnsi="Calibri" w:eastAsia="仿宋_GB2312" w:cs="Times New Roman"/>
      <w:kern w:val="2"/>
      <w:sz w:val="32"/>
      <w:szCs w:val="24"/>
      <w:lang w:val="en-US" w:eastAsia="zh-CN" w:bidi="ar-SA"/>
    </w:rPr>
  </w:style>
  <w:style w:type="paragraph" w:customStyle="1" w:styleId="24">
    <w:name w:val="样式 样式 样式 四号 左侧:  1.53 厘米 + 首行缩进:  2 字符 + 居中 左侧:  2 字符 首行缩进:  2..."/>
    <w:basedOn w:val="1"/>
    <w:qFormat/>
    <w:uiPriority w:val="0"/>
    <w:pPr>
      <w:adjustRightInd w:val="0"/>
      <w:spacing w:line="240" w:lineRule="auto"/>
      <w:ind w:left="200" w:leftChars="200" w:firstLine="0" w:firstLineChars="0"/>
      <w:jc w:val="center"/>
    </w:pPr>
    <w:rPr>
      <w:rFonts w:ascii="Calibri" w:hAnsi="Calibri" w:cs="宋体"/>
      <w:w w:val="90"/>
      <w:sz w:val="28"/>
      <w:szCs w:val="20"/>
    </w:rPr>
  </w:style>
  <w:style w:type="paragraph" w:customStyle="1" w:styleId="25">
    <w:name w:val="标题 段落4级"/>
    <w:qFormat/>
    <w:uiPriority w:val="0"/>
    <w:pPr>
      <w:spacing w:line="500" w:lineRule="exact"/>
      <w:outlineLvl w:val="3"/>
    </w:pPr>
    <w:rPr>
      <w:rFonts w:ascii="Times New Roman" w:hAnsi="Times New Roman" w:eastAsia="仿宋_GB2312" w:cs="Calibri"/>
      <w:b/>
      <w:kern w:val="2"/>
      <w:sz w:val="28"/>
      <w:szCs w:val="24"/>
      <w:lang w:val="en-US" w:eastAsia="zh-CN" w:bidi="ar-SA"/>
    </w:rPr>
  </w:style>
  <w:style w:type="paragraph" w:customStyle="1" w:styleId="26">
    <w:name w:val="xl27"/>
    <w:basedOn w:val="1"/>
    <w:qFormat/>
    <w:uiPriority w:val="0"/>
    <w:pPr>
      <w:widowControl/>
      <w:pBdr>
        <w:top w:val="single" w:color="auto" w:sz="4" w:space="0"/>
        <w:left w:val="single" w:color="auto" w:sz="4" w:space="0"/>
        <w:bottom w:val="single" w:color="auto" w:sz="4" w:space="0"/>
        <w:right w:val="single" w:color="auto" w:sz="4" w:space="0"/>
      </w:pBdr>
      <w:autoSpaceDE/>
      <w:autoSpaceDN/>
      <w:adjustRightInd/>
      <w:spacing w:before="100" w:beforeAutospacing="1" w:after="100" w:afterAutospacing="1"/>
    </w:pPr>
    <w:rPr>
      <w:rFonts w:ascii="Arial Unicode MS" w:hAnsi="Arial Unicode MS" w:eastAsia="Arial Unicode MS" w:cs="Arial Unicode MS"/>
      <w:sz w:val="18"/>
      <w:szCs w:val="18"/>
    </w:rPr>
  </w:style>
  <w:style w:type="paragraph" w:customStyle="1" w:styleId="27">
    <w:name w:val="1 表头"/>
    <w:basedOn w:val="1"/>
    <w:qFormat/>
    <w:uiPriority w:val="0"/>
    <w:pPr>
      <w:adjustRightInd w:val="0"/>
      <w:snapToGrid w:val="0"/>
      <w:spacing w:line="240" w:lineRule="auto"/>
      <w:ind w:firstLine="0" w:firstLineChars="0"/>
      <w:jc w:val="center"/>
    </w:pPr>
    <w:rPr>
      <w:b/>
      <w:color w:val="000000"/>
      <w:sz w:val="21"/>
      <w:szCs w:val="21"/>
    </w:rPr>
  </w:style>
  <w:style w:type="paragraph" w:customStyle="1" w:styleId="28">
    <w:name w:val="样式5"/>
    <w:basedOn w:val="4"/>
    <w:qFormat/>
    <w:uiPriority w:val="0"/>
    <w:pPr>
      <w:snapToGrid w:val="0"/>
      <w:spacing w:before="62" w:beforeLines="20" w:after="62" w:afterLines="20" w:line="480" w:lineRule="exact"/>
      <w:ind w:firstLine="523" w:firstLineChars="218"/>
      <w:jc w:val="both"/>
    </w:pPr>
    <w:rPr>
      <w:i/>
      <w:iCs/>
      <w:kern w:val="2"/>
      <w:sz w:val="24"/>
      <w:szCs w:val="20"/>
    </w:rPr>
  </w:style>
  <w:style w:type="paragraph" w:customStyle="1" w:styleId="29">
    <w:name w:val="正文(首行缩进)"/>
    <w:basedOn w:val="1"/>
    <w:next w:val="1"/>
    <w:qFormat/>
    <w:uiPriority w:val="0"/>
    <w:pPr>
      <w:spacing w:line="360" w:lineRule="auto"/>
      <w:ind w:firstLine="540" w:firstLineChars="225"/>
    </w:pPr>
    <w:rPr>
      <w:snapToGrid w:val="0"/>
      <w:color w:val="000000"/>
      <w:sz w:val="24"/>
      <w:szCs w:val="24"/>
    </w:rPr>
  </w:style>
  <w:style w:type="paragraph" w:customStyle="1" w:styleId="30">
    <w:name w:val="Normal Indent1"/>
    <w:basedOn w:val="1"/>
    <w:qFormat/>
    <w:uiPriority w:val="0"/>
    <w:pPr>
      <w:ind w:firstLine="420" w:firstLineChars="200"/>
    </w:pPr>
  </w:style>
  <w:style w:type="paragraph" w:customStyle="1" w:styleId="31">
    <w:name w:val="BodyText"/>
    <w:basedOn w:val="1"/>
    <w:qFormat/>
    <w:uiPriority w:val="0"/>
    <w:pPr>
      <w:spacing w:after="120"/>
      <w:jc w:val="both"/>
      <w:textAlignment w:val="baseline"/>
    </w:pPr>
  </w:style>
  <w:style w:type="character" w:customStyle="1" w:styleId="32">
    <w:name w:val="NormalCharacter"/>
    <w:link w:val="1"/>
    <w:semiHidden/>
    <w:qFormat/>
    <w:uiPriority w:val="0"/>
    <w:rPr>
      <w:rFonts w:ascii="Times New Roman" w:hAnsi="Times New Roman" w:eastAsia="宋体" w:cstheme="minorBidi"/>
      <w:kern w:val="2"/>
      <w:sz w:val="21"/>
      <w:szCs w:val="24"/>
      <w:lang w:val="en-US" w:eastAsia="zh-CN" w:bidi="ar-SA"/>
    </w:rPr>
  </w:style>
  <w:style w:type="paragraph" w:customStyle="1" w:styleId="33">
    <w:name w:val="UserStyle_4"/>
    <w:basedOn w:val="1"/>
    <w:qFormat/>
    <w:uiPriority w:val="0"/>
    <w:pPr>
      <w:ind w:left="200" w:leftChars="200" w:firstLine="200" w:firstLineChars="200"/>
      <w:jc w:val="both"/>
      <w:textAlignment w:val="baseline"/>
    </w:pPr>
    <w:rPr>
      <w:rFonts w:ascii="宋体" w:hAnsi="宋体"/>
      <w:color w:val="000000"/>
      <w:kern w:val="2"/>
      <w:sz w:val="32"/>
      <w:szCs w:val="32"/>
      <w:lang w:val="en-US" w:eastAsia="zh-CN" w:bidi="ar-SA"/>
    </w:rPr>
  </w:style>
  <w:style w:type="paragraph" w:customStyle="1" w:styleId="34">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宋体" w:cs="Arial Unicode MS"/>
      <w:color w:val="000000"/>
      <w:kern w:val="2"/>
      <w:sz w:val="21"/>
      <w:szCs w:val="21"/>
      <w:u w:val="none" w:color="000000"/>
      <w:lang w:val="en-US" w:eastAsia="zh-CN" w:bidi="ar-SA"/>
    </w:rPr>
  </w:style>
  <w:style w:type="paragraph" w:customStyle="1" w:styleId="35">
    <w:name w:val="报告1"/>
    <w:basedOn w:val="1"/>
    <w:qFormat/>
    <w:uiPriority w:val="0"/>
    <w:pPr>
      <w:adjustRightInd w:val="0"/>
      <w:spacing w:line="360" w:lineRule="auto"/>
      <w:ind w:firstLine="505"/>
      <w:jc w:val="left"/>
      <w:textAlignment w:val="baseline"/>
    </w:pPr>
    <w:rPr>
      <w:kern w:val="0"/>
      <w:sz w:val="24"/>
    </w:rPr>
  </w:style>
  <w:style w:type="paragraph" w:customStyle="1" w:styleId="36">
    <w:name w:val="A正文"/>
    <w:basedOn w:val="1"/>
    <w:qFormat/>
    <w:uiPriority w:val="0"/>
    <w:pPr>
      <w:spacing w:line="560" w:lineRule="exact"/>
      <w:ind w:firstLine="599" w:firstLineChars="200"/>
    </w:pPr>
    <w:rPr>
      <w:rFonts w:ascii="仿宋_GB2312" w:hAnsi="仿宋_GB2312" w:eastAsia="仿宋_GB2312" w:cs="Times New Roman"/>
      <w:bCs/>
      <w:spacing w:val="-8"/>
      <w:sz w:val="32"/>
      <w:szCs w:val="32"/>
    </w:rPr>
  </w:style>
  <w:style w:type="paragraph" w:customStyle="1" w:styleId="37">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1608</Words>
  <Characters>1729</Characters>
  <Lines>0</Lines>
  <Paragraphs>0</Paragraphs>
  <TotalTime>6</TotalTime>
  <ScaleCrop>false</ScaleCrop>
  <LinksUpToDate>false</LinksUpToDate>
  <CharactersWithSpaces>1812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2023-03-31T08:28:00Z</dcterms:created>
  <dc:creator>Lenovo1</dc:creator>
  <cp:lastModifiedBy>Krismileˇ~</cp:lastModifiedBy>
  <cp:lastPrinted>2026-07-20T08:25:00Z</cp:lastPrinted>
  <dcterms:modified xsi:type="dcterms:W3CDTF">2026-09-18T04:46:42Z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FDDD39FCC9DC404F8E99E2FF5B17141F_13</vt:lpwstr>
  </property>
  <property fmtid="{D5CDD505-2E9C-101B-9397-08002B2CF9AE}" pid="4" name="KSOTemplateDocerSaveRecord">
    <vt:lpwstr>eyJoZGlkIjoiOTA3YWNiNGY5NTYwYmI5ZWExYmVjZmZhYzE1YmNiMmUiLCJ1c2VySWQiOiI0NDQ3ODQwNzcifQ==</vt:lpwstr>
  </property>
</Properties>
</file>