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82D7F1F">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仿宋_GB2312" w:hAnsi="仿宋_GB2312" w:eastAsia="仿宋_GB2312" w:cs="仿宋_GB2312"/>
          <w:sz w:val="32"/>
          <w:szCs w:val="32"/>
          <w:highlight w:val="none"/>
        </w:rPr>
      </w:pPr>
    </w:p>
    <w:p w14:paraId="294762D6">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仿宋_GB2312" w:hAnsi="仿宋_GB2312" w:eastAsia="仿宋_GB2312" w:cs="仿宋_GB2312"/>
          <w:sz w:val="32"/>
          <w:szCs w:val="32"/>
          <w:highlight w:val="none"/>
        </w:rPr>
      </w:pPr>
    </w:p>
    <w:p w14:paraId="32BDE519">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hint="eastAsia" w:ascii="方正小标宋简体" w:hAnsi="方正小标宋简体" w:eastAsia="方正小标宋简体" w:cs="方正小标宋简体"/>
          <w:sz w:val="44"/>
          <w:szCs w:val="44"/>
          <w:highlight w:val="none"/>
        </w:rPr>
      </w:pPr>
      <w:r>
        <w:rPr>
          <w:rFonts w:hint="eastAsia" w:ascii="方正小标宋简体" w:hAnsi="方正小标宋简体" w:eastAsia="方正小标宋简体" w:cs="方正小标宋简体"/>
          <w:sz w:val="44"/>
          <w:szCs w:val="44"/>
          <w:highlight w:val="none"/>
        </w:rPr>
        <w:t>十二师住宅公共配套服务设施管理办法</w:t>
      </w:r>
    </w:p>
    <w:p w14:paraId="2288F0F0">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hint="eastAsia" w:ascii="仿宋_GB2312" w:hAnsi="仿宋_GB2312" w:eastAsia="仿宋_GB2312" w:cs="仿宋_GB2312"/>
          <w:sz w:val="32"/>
          <w:szCs w:val="32"/>
          <w:highlight w:val="none"/>
        </w:rPr>
      </w:pPr>
      <w:r>
        <w:rPr>
          <w:rFonts w:ascii="Times New Roman" w:hAnsi="Times New Roman" w:eastAsia="方正小标宋简体" w:cs="Times New Roman"/>
          <w:color w:val="auto"/>
          <w:sz w:val="44"/>
          <w:lang w:eastAsia="zh-CN"/>
        </w:rPr>
        <w:t>（送审稿）</w:t>
      </w:r>
    </w:p>
    <w:p w14:paraId="6CA4649B">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仿宋_GB2312" w:hAnsi="仿宋_GB2312" w:eastAsia="仿宋_GB2312" w:cs="仿宋_GB2312"/>
          <w:sz w:val="32"/>
          <w:szCs w:val="32"/>
          <w:highlight w:val="none"/>
        </w:rPr>
      </w:pPr>
      <w:bookmarkStart w:id="0" w:name="_GoBack"/>
      <w:bookmarkEnd w:id="0"/>
    </w:p>
    <w:p w14:paraId="CF2220E4">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0" w:firstLineChars="0"/>
        <w:jc w:val="center"/>
        <w:textAlignment w:val="auto"/>
        <w:rPr>
          <w:rFonts w:hint="eastAsia" w:ascii="黑体" w:hAnsi="黑体" w:eastAsia="黑体" w:cs="黑体"/>
          <w:sz w:val="32"/>
          <w:szCs w:val="32"/>
          <w:highlight w:val="none"/>
        </w:rPr>
      </w:pPr>
      <w:r>
        <w:rPr>
          <w:rFonts w:hint="eastAsia" w:ascii="黑体" w:hAnsi="黑体" w:eastAsia="黑体" w:cs="黑体"/>
          <w:kern w:val="2"/>
          <w:sz w:val="32"/>
          <w:szCs w:val="32"/>
          <w:highlight w:val="none"/>
          <w:lang w:val="en-US" w:eastAsia="zh-CN" w:bidi="ar-SA"/>
        </w:rPr>
        <w:t xml:space="preserve">第一章 </w:t>
      </w:r>
      <w:r>
        <w:rPr>
          <w:rFonts w:hint="eastAsia" w:ascii="黑体" w:hAnsi="黑体" w:eastAsia="黑体" w:cs="黑体"/>
          <w:sz w:val="32"/>
          <w:szCs w:val="32"/>
          <w:highlight w:val="none"/>
        </w:rPr>
        <w:t>总则</w:t>
      </w:r>
    </w:p>
    <w:p w14:paraId="209A67F1">
      <w:pPr>
        <w:keepNext w:val="0"/>
        <w:keepLines w:val="0"/>
        <w:pageBreakBefore w:val="0"/>
        <w:widowControl w:val="0"/>
        <w:numPr>
          <w:ilvl w:val="0"/>
          <w:numId w:val="0"/>
        </w:numPr>
        <w:kinsoku/>
        <w:wordWrap/>
        <w:overflowPunct/>
        <w:topLinePunct w:val="0"/>
        <w:autoSpaceDE/>
        <w:autoSpaceDN/>
        <w:bidi w:val="0"/>
        <w:adjustRightInd/>
        <w:snapToGrid/>
        <w:spacing w:line="540" w:lineRule="exact"/>
        <w:jc w:val="both"/>
        <w:textAlignment w:val="auto"/>
        <w:rPr>
          <w:rFonts w:hint="eastAsia" w:ascii="黑体" w:hAnsi="黑体" w:eastAsia="黑体" w:cs="黑体"/>
          <w:sz w:val="32"/>
          <w:szCs w:val="32"/>
          <w:highlight w:val="none"/>
        </w:rPr>
      </w:pPr>
    </w:p>
    <w:p w14:paraId="D3C89FB4">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第一条 为规范十二师住宅公共配套服务设施（以下简称配套公服设施）的规划、建设、移交与管理工作，完善社区服务功能，提升居民生活品质，根据《中华人民共和国民法典》《中华人民共和国城乡规划法》《中华人民共和国城市房地产管理法》《新疆维吾尔自治区物业管理条例》等法律法规，参照《兵团关于进一步提升住房品质的实施意见》等政策文件，结合十二师实际，制定本办法。</w:t>
      </w:r>
    </w:p>
    <w:p w14:paraId="82E7E2AB">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第二条 本办法适用于十二师行政区域内住宅项目（包括商品房住宅小区、保障性住房、棚户区改造、团场新建居住区等）配套公服设施的规划建设、移交接收、统计造册、不动产登记和使用管理等。</w:t>
      </w:r>
    </w:p>
    <w:p w14:paraId="3BAB44CC">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第三条 本办法所称配套公服设施，是指在十二师</w:t>
      </w:r>
      <w:r>
        <w:rPr>
          <w:rFonts w:hint="eastAsia" w:ascii="仿宋_GB2312" w:hAnsi="仿宋_GB2312" w:eastAsia="仿宋_GB2312" w:cs="仿宋_GB2312"/>
          <w:sz w:val="32"/>
          <w:szCs w:val="32"/>
          <w:highlight w:val="none"/>
          <w:lang w:val="en-US" w:eastAsia="zh-CN"/>
        </w:rPr>
        <w:t>确权范围</w:t>
      </w:r>
      <w:r>
        <w:rPr>
          <w:rFonts w:hint="eastAsia" w:ascii="仿宋_GB2312" w:hAnsi="仿宋_GB2312" w:eastAsia="仿宋_GB2312" w:cs="仿宋_GB2312"/>
          <w:sz w:val="32"/>
          <w:szCs w:val="32"/>
          <w:highlight w:val="none"/>
        </w:rPr>
        <w:t>内根据规划要求在房地产开发、保障性住房等各类住宅项目中约定由开发建设单位配套建设，具有一定面积的功能用房或设施，建成后无偿移交且产权归属政府所有的公共服务和市政设施。主要包括以下内容：</w:t>
      </w:r>
    </w:p>
    <w:p w14:paraId="76DCABC5">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（一）教育设施：幼儿园等；</w:t>
      </w:r>
    </w:p>
    <w:p w14:paraId="E7DA04EE">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（二）医疗卫生设施：社区卫生服务站等；</w:t>
      </w:r>
    </w:p>
    <w:p w14:paraId="AAA16B88">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（三）行政管理与社区服务设施：社区党群服务中心、社区服务用房、社区警务室等；</w:t>
      </w:r>
    </w:p>
    <w:p w14:paraId="2A276C67">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（四）文化娱乐设施：文化活动中心等；</w:t>
      </w:r>
    </w:p>
    <w:p w14:paraId="E7907969">
      <w:pPr>
        <w:keepNext w:val="0"/>
        <w:keepLines w:val="0"/>
        <w:pageBreakBefore w:val="0"/>
        <w:widowControl w:val="0"/>
        <w:tabs>
          <w:tab w:val="left" w:pos="544"/>
        </w:tabs>
        <w:kinsoku/>
        <w:wordWrap/>
        <w:overflowPunct/>
        <w:topLinePunct w:val="0"/>
        <w:autoSpaceDE/>
        <w:autoSpaceDN/>
        <w:bidi w:val="0"/>
        <w:adjustRightInd/>
        <w:snapToGrid/>
        <w:spacing w:line="54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（五）体育设施：居民健身设施等；</w:t>
      </w:r>
    </w:p>
    <w:p w14:paraId="7205457B">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（六）社会福利设施：日间照料中心（养老服务设施）、托育服务设施等；</w:t>
      </w:r>
    </w:p>
    <w:p w14:paraId="20824F60">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（七）商业服务设施：蔬菜副食品直销点（菜市场）等；</w:t>
      </w:r>
    </w:p>
    <w:p w14:paraId="F07EC8EC">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（八）市政公用设施：邮政快递服务用房、公共厕所、垃圾收集站（垃圾用房）等；</w:t>
      </w:r>
    </w:p>
    <w:p w14:paraId="B5F41185">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（九）物业服务设施：物业管理用房（归全体业主共有，参照物业管理相关规定执行）；</w:t>
      </w:r>
    </w:p>
    <w:p w14:paraId="9340F920">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（十）其他按照规划要求配建的设施。</w:t>
      </w:r>
    </w:p>
    <w:p w14:paraId="290D1C55">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第四条 配套公服设施按照“谁所有、谁管理、谁负责” 的原则实行行业部门（单位）和属地团场共同监管。</w:t>
      </w:r>
    </w:p>
    <w:p w14:paraId="05EA187E">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配套公服设施应与住宅项目同步设计、同步报建、同步施工、同步规划核实、同步交付使用。</w:t>
      </w:r>
    </w:p>
    <w:p w14:paraId="51DA0925">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仿宋_GB2312" w:hAnsi="仿宋_GB2312" w:eastAsia="仿宋_GB2312" w:cs="仿宋_GB2312"/>
          <w:sz w:val="32"/>
          <w:szCs w:val="32"/>
          <w:highlight w:val="none"/>
        </w:rPr>
      </w:pPr>
    </w:p>
    <w:p w14:paraId="5199127A">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0" w:firstLineChars="0"/>
        <w:jc w:val="center"/>
        <w:textAlignment w:val="auto"/>
        <w:rPr>
          <w:rFonts w:hint="eastAsia" w:ascii="黑体" w:hAnsi="黑体" w:eastAsia="黑体" w:cs="黑体"/>
          <w:kern w:val="2"/>
          <w:sz w:val="32"/>
          <w:szCs w:val="32"/>
          <w:highlight w:val="none"/>
          <w:lang w:val="en-US" w:eastAsia="zh-CN" w:bidi="ar-SA"/>
        </w:rPr>
      </w:pPr>
      <w:r>
        <w:rPr>
          <w:rFonts w:hint="eastAsia" w:ascii="黑体" w:hAnsi="黑体" w:eastAsia="黑体" w:cs="黑体"/>
          <w:kern w:val="2"/>
          <w:sz w:val="32"/>
          <w:szCs w:val="32"/>
          <w:highlight w:val="none"/>
          <w:lang w:val="en-US" w:eastAsia="zh-CN" w:bidi="ar-SA"/>
        </w:rPr>
        <w:t>第二章 职责分工</w:t>
      </w:r>
    </w:p>
    <w:p w14:paraId="18BA819E">
      <w:pPr>
        <w:keepNext w:val="0"/>
        <w:keepLines w:val="0"/>
        <w:pageBreakBefore w:val="0"/>
        <w:widowControl w:val="0"/>
        <w:numPr>
          <w:ilvl w:val="0"/>
          <w:numId w:val="0"/>
        </w:numPr>
        <w:kinsoku/>
        <w:wordWrap/>
        <w:overflowPunct/>
        <w:topLinePunct w:val="0"/>
        <w:autoSpaceDE/>
        <w:autoSpaceDN/>
        <w:bidi w:val="0"/>
        <w:adjustRightInd/>
        <w:snapToGrid/>
        <w:spacing w:line="540" w:lineRule="exact"/>
        <w:jc w:val="both"/>
        <w:textAlignment w:val="auto"/>
        <w:rPr>
          <w:rFonts w:hint="eastAsia" w:ascii="黑体" w:hAnsi="黑体" w:eastAsia="黑体" w:cs="黑体"/>
          <w:kern w:val="2"/>
          <w:sz w:val="32"/>
          <w:szCs w:val="32"/>
          <w:highlight w:val="none"/>
          <w:lang w:val="en-US" w:eastAsia="zh-CN" w:bidi="ar-SA"/>
        </w:rPr>
      </w:pPr>
    </w:p>
    <w:p w14:paraId="ED57DB2D">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第五条 师住房和城乡建设局是配套公服设施管理的综合协调部门，负责统筹指导配套公服设施的规划建设、工程质量监督、竣工验收备案等工作。</w:t>
      </w:r>
    </w:p>
    <w:p w14:paraId="BD2B3C30">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第六条 相关部门按照职责分工，共同做好配套公服设施管理工作：</w:t>
      </w:r>
    </w:p>
    <w:p w14:paraId="2D83D5E3">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w:t>
      </w:r>
      <w:r>
        <w:rPr>
          <w:rFonts w:hint="eastAsia" w:ascii="仿宋_GB2312" w:hAnsi="仿宋_GB2312" w:eastAsia="仿宋_GB2312" w:cs="仿宋_GB2312"/>
          <w:sz w:val="32"/>
          <w:szCs w:val="32"/>
          <w:highlight w:val="none"/>
          <w:lang w:val="en-US" w:eastAsia="zh-CN"/>
        </w:rPr>
        <w:t>一</w:t>
      </w:r>
      <w:r>
        <w:rPr>
          <w:rFonts w:hint="eastAsia" w:ascii="仿宋_GB2312" w:hAnsi="仿宋_GB2312" w:eastAsia="仿宋_GB2312" w:cs="仿宋_GB2312"/>
          <w:sz w:val="32"/>
          <w:szCs w:val="32"/>
          <w:highlight w:val="none"/>
        </w:rPr>
        <w:t>）</w:t>
      </w:r>
      <w:r>
        <w:rPr>
          <w:rFonts w:hint="eastAsia" w:ascii="仿宋_GB2312" w:hAnsi="仿宋_GB2312" w:eastAsia="仿宋_GB2312" w:cs="仿宋_GB2312"/>
          <w:sz w:val="32"/>
          <w:szCs w:val="32"/>
          <w:highlight w:val="none"/>
        </w:rPr>
        <w:t>师党委社会工作部是社区服务用房的主管部门</w:t>
      </w:r>
      <w:r>
        <w:rPr>
          <w:rFonts w:hint="eastAsia" w:ascii="仿宋_GB2312" w:hAnsi="仿宋_GB2312" w:eastAsia="仿宋_GB2312" w:cs="仿宋_GB2312"/>
          <w:sz w:val="32"/>
          <w:szCs w:val="32"/>
          <w:highlight w:val="none"/>
        </w:rPr>
        <w:t>，负责统筹、指导和监督相关工作，并在规划建设阶段和竣工验收时根据需要出具意见；</w:t>
      </w:r>
    </w:p>
    <w:p w14:paraId="E6286D92">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w:t>
      </w:r>
      <w:r>
        <w:rPr>
          <w:rFonts w:hint="eastAsia" w:ascii="仿宋_GB2312" w:hAnsi="仿宋_GB2312" w:eastAsia="仿宋_GB2312" w:cs="仿宋_GB2312"/>
          <w:sz w:val="32"/>
          <w:szCs w:val="32"/>
          <w:highlight w:val="none"/>
          <w:lang w:val="en-US" w:eastAsia="zh-CN"/>
        </w:rPr>
        <w:t>二</w:t>
      </w:r>
      <w:r>
        <w:rPr>
          <w:rFonts w:hint="eastAsia" w:ascii="仿宋_GB2312" w:hAnsi="仿宋_GB2312" w:eastAsia="仿宋_GB2312" w:cs="仿宋_GB2312"/>
          <w:sz w:val="32"/>
          <w:szCs w:val="32"/>
          <w:highlight w:val="none"/>
        </w:rPr>
        <w:t>）师自然资源和规划局负责组织土地出让、明确规划条件内配套公服设施建设要求、建设用地规划许可证核发、项目设计方案审查（含配套公服设施）、建设工程规划许可证核发、规划核实等；</w:t>
      </w:r>
    </w:p>
    <w:p w14:paraId="94B07F55">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w:t>
      </w:r>
      <w:r>
        <w:rPr>
          <w:rFonts w:hint="eastAsia" w:ascii="仿宋_GB2312" w:hAnsi="仿宋_GB2312" w:eastAsia="仿宋_GB2312" w:cs="仿宋_GB2312"/>
          <w:sz w:val="32"/>
          <w:szCs w:val="32"/>
          <w:highlight w:val="none"/>
          <w:lang w:val="en-US" w:eastAsia="zh-CN"/>
        </w:rPr>
        <w:t>三</w:t>
      </w:r>
      <w:r>
        <w:rPr>
          <w:rFonts w:hint="eastAsia" w:ascii="仿宋_GB2312" w:hAnsi="仿宋_GB2312" w:eastAsia="仿宋_GB2312" w:cs="仿宋_GB2312"/>
          <w:sz w:val="32"/>
          <w:szCs w:val="32"/>
          <w:highlight w:val="none"/>
        </w:rPr>
        <w:t>）师住房和城乡建设局负责建筑工程施工许可证核发、质量安全生产监督、竣工验收备案等；</w:t>
      </w:r>
    </w:p>
    <w:p w14:paraId="5C8A58DC">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w:t>
      </w:r>
      <w:r>
        <w:rPr>
          <w:rFonts w:hint="eastAsia" w:ascii="仿宋_GB2312" w:hAnsi="仿宋_GB2312" w:eastAsia="仿宋_GB2312" w:cs="仿宋_GB2312"/>
          <w:sz w:val="32"/>
          <w:szCs w:val="32"/>
          <w:highlight w:val="none"/>
          <w:lang w:val="en-US" w:eastAsia="zh-CN"/>
        </w:rPr>
        <w:t>四</w:t>
      </w:r>
      <w:r>
        <w:rPr>
          <w:rFonts w:hint="eastAsia" w:ascii="仿宋_GB2312" w:hAnsi="仿宋_GB2312" w:eastAsia="仿宋_GB2312" w:cs="仿宋_GB2312"/>
          <w:sz w:val="32"/>
          <w:szCs w:val="32"/>
          <w:highlight w:val="none"/>
        </w:rPr>
        <w:t>）</w:t>
      </w:r>
      <w:r>
        <w:rPr>
          <w:rFonts w:hint="eastAsia" w:ascii="仿宋_GB2312" w:hAnsi="仿宋_GB2312" w:eastAsia="仿宋_GB2312" w:cs="仿宋_GB2312"/>
          <w:sz w:val="32"/>
          <w:szCs w:val="32"/>
          <w:highlight w:val="none"/>
        </w:rPr>
        <w:t>师教育局协助幼儿园属地团场，统筹、指导并监督相关工作，在规划建设阶段和竣工验收时根据需要出具意见；</w:t>
      </w:r>
    </w:p>
    <w:p w14:paraId="D055346C">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w:t>
      </w:r>
      <w:r>
        <w:rPr>
          <w:rFonts w:hint="eastAsia" w:ascii="仿宋_GB2312" w:hAnsi="仿宋_GB2312" w:eastAsia="仿宋_GB2312" w:cs="仿宋_GB2312"/>
          <w:sz w:val="32"/>
          <w:szCs w:val="32"/>
          <w:highlight w:val="none"/>
          <w:lang w:val="en-US" w:eastAsia="zh-CN"/>
        </w:rPr>
        <w:t>五</w:t>
      </w:r>
      <w:r>
        <w:rPr>
          <w:rFonts w:hint="eastAsia" w:ascii="仿宋_GB2312" w:hAnsi="仿宋_GB2312" w:eastAsia="仿宋_GB2312" w:cs="仿宋_GB2312"/>
          <w:sz w:val="32"/>
          <w:szCs w:val="32"/>
          <w:highlight w:val="none"/>
        </w:rPr>
        <w:t>）师公安局是社区警务室的行政主管部门，负责统筹、指导和监督相关工作，并在规划建设阶段和竣工验收时根据需要出具意见；</w:t>
      </w:r>
    </w:p>
    <w:p w14:paraId="A92C93BA">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w:t>
      </w:r>
      <w:r>
        <w:rPr>
          <w:rFonts w:hint="eastAsia" w:ascii="仿宋_GB2312" w:hAnsi="仿宋_GB2312" w:eastAsia="仿宋_GB2312" w:cs="仿宋_GB2312"/>
          <w:sz w:val="32"/>
          <w:szCs w:val="32"/>
          <w:highlight w:val="none"/>
          <w:lang w:val="en-US" w:eastAsia="zh-CN"/>
        </w:rPr>
        <w:t>六</w:t>
      </w:r>
      <w:r>
        <w:rPr>
          <w:rFonts w:hint="eastAsia" w:ascii="仿宋_GB2312" w:hAnsi="仿宋_GB2312" w:eastAsia="仿宋_GB2312" w:cs="仿宋_GB2312"/>
          <w:sz w:val="32"/>
          <w:szCs w:val="32"/>
          <w:highlight w:val="none"/>
        </w:rPr>
        <w:t>）师民政局是养老服务设施的行政主管部门，负责统筹、指导和监督相关工作，并在规划建设阶段和竣工验收时根据需要出具意见；</w:t>
      </w:r>
    </w:p>
    <w:p w14:paraId="FF780A86">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（七）师卫生健康委是医疗卫生设施和托育服务设施的行政主管部门，负责统筹、指导和监督相关工作，并在规划建设阶段和竣工验收时根据需要出具意见；</w:t>
      </w:r>
    </w:p>
    <w:p w14:paraId="C1AB06E3">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（八）</w:t>
      </w:r>
      <w:r>
        <w:rPr>
          <w:rFonts w:hint="eastAsia" w:ascii="仿宋_GB2312" w:hAnsi="仿宋_GB2312" w:eastAsia="仿宋_GB2312" w:cs="仿宋_GB2312"/>
          <w:sz w:val="32"/>
          <w:szCs w:val="32"/>
          <w:highlight w:val="none"/>
        </w:rPr>
        <w:t>师商务局</w:t>
      </w:r>
      <w:r>
        <w:rPr>
          <w:rFonts w:hint="eastAsia" w:ascii="仿宋_GB2312" w:hAnsi="仿宋_GB2312" w:eastAsia="仿宋_GB2312" w:cs="仿宋_GB2312"/>
          <w:sz w:val="32"/>
          <w:szCs w:val="32"/>
          <w:highlight w:val="none"/>
          <w:lang w:val="en-US" w:eastAsia="zh-CN"/>
        </w:rPr>
        <w:t>负责</w:t>
      </w:r>
      <w:r>
        <w:rPr>
          <w:rFonts w:hint="eastAsia" w:ascii="仿宋_GB2312" w:hAnsi="仿宋_GB2312" w:eastAsia="仿宋_GB2312" w:cs="仿宋_GB2312"/>
          <w:sz w:val="32"/>
          <w:szCs w:val="32"/>
          <w:highlight w:val="none"/>
        </w:rPr>
        <w:t>蔬菜副食品直销点（菜市场）</w:t>
      </w:r>
      <w:r>
        <w:rPr>
          <w:rFonts w:hint="eastAsia" w:ascii="仿宋_GB2312" w:hAnsi="仿宋_GB2312" w:eastAsia="仿宋_GB2312" w:cs="仿宋_GB2312"/>
          <w:sz w:val="32"/>
          <w:szCs w:val="32"/>
          <w:highlight w:val="none"/>
          <w:lang w:val="en-US" w:eastAsia="zh-CN"/>
        </w:rPr>
        <w:t>相关政策制定、宏观管理、业务指导、协调，指导督促团场、派出机构有关部门做好日常管理服务和保障工作</w:t>
      </w:r>
      <w:r>
        <w:rPr>
          <w:rFonts w:hint="eastAsia" w:ascii="仿宋_GB2312" w:hAnsi="仿宋_GB2312" w:eastAsia="仿宋_GB2312" w:cs="仿宋_GB2312"/>
          <w:sz w:val="32"/>
          <w:szCs w:val="32"/>
          <w:highlight w:val="none"/>
        </w:rPr>
        <w:t>；</w:t>
      </w:r>
    </w:p>
    <w:p w14:paraId="3BC81848">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（九）师文化体育广电和旅游局是文化娱乐设施和体育设施的行政主管部门，负责统筹、指导和监督相关工作，并在规划建设阶段和竣工验收时根据需要出具意见；</w:t>
      </w:r>
    </w:p>
    <w:p w14:paraId="8F93D729">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（十）师住房和城乡建设局（城市管理部门）是垃圾收集站、公共厕所等市政公用设施的行政主管部门，负责统筹、指导和监督相关工作，并在规划建设阶段和竣工验收时根据需要出具意见；</w:t>
      </w:r>
    </w:p>
    <w:p w14:paraId="CB5ECA8F">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（十一）各团场（含常州街片区管委会等）为配套公服设施的具体接收管理单位，负责本辖区内配套公服设施的统计造册、不动产登记申请、使用管理等。</w:t>
      </w:r>
    </w:p>
    <w:p w14:paraId="0889633D">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第七条 师发展改革、财政等部门按照各自职责，做好配套公服设施管理的相关工作。</w:t>
      </w:r>
    </w:p>
    <w:p w14:paraId="6C72EA88">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仿宋_GB2312" w:hAnsi="仿宋_GB2312" w:eastAsia="仿宋_GB2312" w:cs="仿宋_GB2312"/>
          <w:sz w:val="32"/>
          <w:szCs w:val="32"/>
          <w:highlight w:val="none"/>
        </w:rPr>
      </w:pPr>
    </w:p>
    <w:p w14:paraId="30E92A1A">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0" w:firstLineChars="0"/>
        <w:jc w:val="center"/>
        <w:textAlignment w:val="auto"/>
        <w:rPr>
          <w:rFonts w:hint="eastAsia" w:ascii="黑体" w:hAnsi="黑体" w:eastAsia="黑体" w:cs="黑体"/>
          <w:kern w:val="2"/>
          <w:sz w:val="32"/>
          <w:szCs w:val="32"/>
          <w:highlight w:val="none"/>
          <w:lang w:val="en-US" w:eastAsia="zh-CN" w:bidi="ar-SA"/>
        </w:rPr>
      </w:pPr>
      <w:r>
        <w:rPr>
          <w:rFonts w:hint="eastAsia" w:ascii="黑体" w:hAnsi="黑体" w:eastAsia="黑体" w:cs="黑体"/>
          <w:kern w:val="2"/>
          <w:sz w:val="32"/>
          <w:szCs w:val="32"/>
          <w:highlight w:val="none"/>
          <w:lang w:val="en-US" w:eastAsia="zh-CN" w:bidi="ar-SA"/>
        </w:rPr>
        <w:t>第三章 规划与建设</w:t>
      </w:r>
    </w:p>
    <w:p w14:paraId="6AFED7CD">
      <w:pPr>
        <w:keepNext w:val="0"/>
        <w:keepLines w:val="0"/>
        <w:pageBreakBefore w:val="0"/>
        <w:widowControl w:val="0"/>
        <w:numPr>
          <w:ilvl w:val="0"/>
          <w:numId w:val="0"/>
        </w:numPr>
        <w:kinsoku/>
        <w:wordWrap/>
        <w:overflowPunct/>
        <w:topLinePunct w:val="0"/>
        <w:autoSpaceDE/>
        <w:autoSpaceDN/>
        <w:bidi w:val="0"/>
        <w:adjustRightInd/>
        <w:snapToGrid/>
        <w:spacing w:line="540" w:lineRule="exact"/>
        <w:jc w:val="both"/>
        <w:textAlignment w:val="auto"/>
        <w:rPr>
          <w:rFonts w:hint="eastAsia" w:ascii="黑体" w:hAnsi="黑体" w:eastAsia="黑体" w:cs="黑体"/>
          <w:kern w:val="2"/>
          <w:sz w:val="32"/>
          <w:szCs w:val="32"/>
          <w:highlight w:val="none"/>
          <w:lang w:val="en-US" w:eastAsia="zh-CN" w:bidi="ar-SA"/>
        </w:rPr>
      </w:pPr>
    </w:p>
    <w:p w14:paraId="EEA31299">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第八条 师自然资源和规划局在编制</w:t>
      </w:r>
      <w:r>
        <w:rPr>
          <w:rFonts w:hint="eastAsia" w:ascii="仿宋_GB2312" w:hAnsi="仿宋_GB2312" w:eastAsia="仿宋_GB2312" w:cs="仿宋_GB2312"/>
          <w:sz w:val="32"/>
          <w:szCs w:val="32"/>
          <w:highlight w:val="none"/>
          <w:lang w:val="en-US" w:eastAsia="zh-CN"/>
        </w:rPr>
        <w:t>详细规划</w:t>
      </w:r>
      <w:r>
        <w:rPr>
          <w:rFonts w:hint="eastAsia" w:ascii="仿宋_GB2312" w:hAnsi="仿宋_GB2312" w:eastAsia="仿宋_GB2312" w:cs="仿宋_GB2312"/>
          <w:sz w:val="32"/>
          <w:szCs w:val="32"/>
          <w:highlight w:val="none"/>
        </w:rPr>
        <w:t>和规划条件时，应征求相关配套公服设施主管部门及属地团场意见，明确需配建的设施清单、建设规模、位置等要求。</w:t>
      </w:r>
    </w:p>
    <w:p w14:paraId="42EDBDE3">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第九条 在出让或划拨住宅项目用地时，应将</w:t>
      </w:r>
      <w:r>
        <w:rPr>
          <w:rFonts w:hint="eastAsia" w:ascii="仿宋_GB2312" w:hAnsi="仿宋_GB2312" w:eastAsia="仿宋_GB2312" w:cs="仿宋_GB2312"/>
          <w:sz w:val="32"/>
          <w:szCs w:val="32"/>
          <w:highlight w:val="none"/>
          <w:lang w:val="en-US" w:eastAsia="zh-CN"/>
        </w:rPr>
        <w:t>规划条件确定</w:t>
      </w:r>
      <w:r>
        <w:rPr>
          <w:rFonts w:hint="eastAsia" w:ascii="仿宋_GB2312" w:hAnsi="仿宋_GB2312" w:eastAsia="仿宋_GB2312" w:cs="仿宋_GB2312"/>
          <w:sz w:val="32"/>
          <w:szCs w:val="32"/>
          <w:highlight w:val="none"/>
        </w:rPr>
        <w:t>配套公服设施的配建要求作为土地出让合同或划拨决定书的组成部分。土地出让合同或划拨决定书应明确：</w:t>
      </w:r>
    </w:p>
    <w:p w14:paraId="8211E59C">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（一）配套公服设施的名称、数量、建筑面积；</w:t>
      </w:r>
    </w:p>
    <w:p w14:paraId="18F31E50">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sz w:val="32"/>
          <w:szCs w:val="32"/>
          <w:highlight w:val="none"/>
        </w:rPr>
        <w:t>（二）产权归属及移交接收单位</w:t>
      </w:r>
      <w:r>
        <w:rPr>
          <w:rFonts w:hint="eastAsia" w:ascii="仿宋_GB2312" w:hAnsi="仿宋_GB2312" w:eastAsia="仿宋_GB2312" w:cs="仿宋_GB2312"/>
          <w:sz w:val="32"/>
          <w:szCs w:val="32"/>
          <w:highlight w:val="none"/>
          <w:lang w:eastAsia="zh-CN"/>
        </w:rPr>
        <w:t>。</w:t>
      </w:r>
    </w:p>
    <w:p w14:paraId="A1EEAE81">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第十条 建设单位应按照规划要求和土地出让合同约定，将配套公服设施与住宅项目主体工程同步设计。设计方案应经相关主管部门确认。</w:t>
      </w:r>
    </w:p>
    <w:p w14:paraId="B098F5E4">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配套公服设施的设计应符合《城市居住区规划设计标准》（GB50180-2018）、《社区生活圈规划技术指南》（TD/T 1062-2021）</w:t>
      </w:r>
      <w:r>
        <w:rPr>
          <w:rFonts w:hint="eastAsia" w:ascii="仿宋_GB2312" w:hAnsi="仿宋_GB2312" w:eastAsia="仿宋_GB2312" w:cs="仿宋_GB2312"/>
          <w:sz w:val="32"/>
          <w:szCs w:val="32"/>
          <w:highlight w:val="none"/>
          <w:lang w:val="en-US" w:eastAsia="zh-CN"/>
        </w:rPr>
        <w:t>等</w:t>
      </w:r>
      <w:r>
        <w:rPr>
          <w:rFonts w:hint="eastAsia" w:ascii="仿宋_GB2312" w:hAnsi="仿宋_GB2312" w:eastAsia="仿宋_GB2312" w:cs="仿宋_GB2312"/>
          <w:sz w:val="32"/>
          <w:szCs w:val="32"/>
          <w:highlight w:val="none"/>
        </w:rPr>
        <w:t>国家和兵团相关建设标准及规范要求。</w:t>
      </w:r>
    </w:p>
    <w:p w14:paraId="0D5BFC9E">
      <w:pPr>
        <w:keepNext w:val="0"/>
        <w:keepLines w:val="0"/>
        <w:pageBreakBefore w:val="0"/>
        <w:widowControl w:val="0"/>
        <w:numPr>
          <w:ilvl w:val="0"/>
          <w:numId w:val="1"/>
        </w:numPr>
        <w:kinsoku/>
        <w:wordWrap/>
        <w:overflowPunct/>
        <w:topLinePunct w:val="0"/>
        <w:autoSpaceDE/>
        <w:autoSpaceDN/>
        <w:bidi w:val="0"/>
        <w:adjustRightInd/>
        <w:snapToGrid/>
        <w:spacing w:line="54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配套公服设施的建设应与住宅项目同步施工、同步竣工验收。分期建设的住宅项目，配套公服设施应安排在首期建设。分期开发的建设项目，其配建的基本公共服务设施应当与首期项目同步建设、同步规划核实。</w:t>
      </w:r>
    </w:p>
    <w:p w14:paraId="4AAC584E">
      <w:pPr>
        <w:keepNext w:val="0"/>
        <w:keepLines w:val="0"/>
        <w:pageBreakBefore w:val="0"/>
        <w:widowControl w:val="0"/>
        <w:numPr>
          <w:ilvl w:val="0"/>
          <w:numId w:val="0"/>
        </w:numPr>
        <w:kinsoku/>
        <w:wordWrap/>
        <w:overflowPunct/>
        <w:topLinePunct w:val="0"/>
        <w:autoSpaceDE/>
        <w:autoSpaceDN/>
        <w:bidi w:val="0"/>
        <w:adjustRightInd/>
        <w:snapToGrid/>
        <w:spacing w:line="540" w:lineRule="exact"/>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 xml:space="preserve"> </w:t>
      </w:r>
      <w:r>
        <w:rPr>
          <w:rFonts w:hint="eastAsia" w:ascii="仿宋_GB2312" w:hAnsi="仿宋_GB2312" w:eastAsia="仿宋_GB2312" w:cs="仿宋_GB2312"/>
          <w:sz w:val="32"/>
          <w:szCs w:val="32"/>
          <w:highlight w:val="none"/>
          <w:lang w:val="en-US" w:eastAsia="zh-CN"/>
        </w:rPr>
        <w:t xml:space="preserve">   </w:t>
      </w:r>
      <w:r>
        <w:rPr>
          <w:rFonts w:hint="eastAsia" w:ascii="仿宋_GB2312" w:hAnsi="仿宋_GB2312" w:eastAsia="仿宋_GB2312" w:cs="仿宋_GB2312"/>
          <w:sz w:val="32"/>
          <w:szCs w:val="32"/>
          <w:highlight w:val="none"/>
        </w:rPr>
        <w:t>对未按照要求建设公共配套服务设施的项目，师自然资源和规划局不予通过规划核实。</w:t>
      </w:r>
    </w:p>
    <w:p w14:paraId="A7F874BD">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建设单位应严格按照经批准的规划设计方案进行建设，不得擅自变更配套公服设施的功能、位置或减少建设规模。</w:t>
      </w:r>
    </w:p>
    <w:p w14:paraId="AEA2C131">
      <w:pPr>
        <w:keepNext w:val="0"/>
        <w:keepLines w:val="0"/>
        <w:pageBreakBefore w:val="0"/>
        <w:widowControl w:val="0"/>
        <w:numPr>
          <w:ilvl w:val="0"/>
          <w:numId w:val="2"/>
        </w:numPr>
        <w:kinsoku/>
        <w:wordWrap/>
        <w:overflowPunct/>
        <w:topLinePunct w:val="0"/>
        <w:autoSpaceDE/>
        <w:autoSpaceDN/>
        <w:bidi w:val="0"/>
        <w:adjustRightInd/>
        <w:snapToGrid/>
        <w:spacing w:line="54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配套公服设施的建设资金由建设单位承担，计入项目建设成本。无偿移交的配套公服设施建筑面积不计入容积率（除另有规定外）。</w:t>
      </w:r>
    </w:p>
    <w:p w14:paraId="7B4A502C">
      <w:pPr>
        <w:keepNext w:val="0"/>
        <w:keepLines w:val="0"/>
        <w:pageBreakBefore w:val="0"/>
        <w:widowControl w:val="0"/>
        <w:numPr>
          <w:ilvl w:val="0"/>
          <w:numId w:val="0"/>
        </w:numPr>
        <w:kinsoku/>
        <w:wordWrap/>
        <w:overflowPunct/>
        <w:topLinePunct w:val="0"/>
        <w:autoSpaceDE/>
        <w:autoSpaceDN/>
        <w:bidi w:val="0"/>
        <w:adjustRightInd/>
        <w:snapToGrid/>
        <w:spacing w:line="540" w:lineRule="exact"/>
        <w:textAlignment w:val="auto"/>
        <w:rPr>
          <w:rFonts w:hint="eastAsia" w:ascii="仿宋_GB2312" w:hAnsi="仿宋_GB2312" w:eastAsia="仿宋_GB2312" w:cs="仿宋_GB2312"/>
          <w:sz w:val="32"/>
          <w:szCs w:val="32"/>
          <w:highlight w:val="none"/>
        </w:rPr>
      </w:pPr>
    </w:p>
    <w:p w14:paraId="4A4A7BA7">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0" w:firstLineChars="0"/>
        <w:jc w:val="center"/>
        <w:textAlignment w:val="auto"/>
        <w:rPr>
          <w:rFonts w:hint="eastAsia" w:ascii="黑体" w:hAnsi="黑体" w:eastAsia="黑体" w:cs="黑体"/>
          <w:kern w:val="2"/>
          <w:sz w:val="32"/>
          <w:szCs w:val="32"/>
          <w:highlight w:val="none"/>
          <w:lang w:val="en-US" w:eastAsia="zh-CN" w:bidi="ar-SA"/>
        </w:rPr>
      </w:pPr>
      <w:r>
        <w:rPr>
          <w:rFonts w:hint="eastAsia" w:ascii="黑体" w:hAnsi="黑体" w:eastAsia="黑体" w:cs="黑体"/>
          <w:kern w:val="2"/>
          <w:sz w:val="32"/>
          <w:szCs w:val="32"/>
          <w:highlight w:val="none"/>
          <w:lang w:val="en-US" w:eastAsia="zh-CN" w:bidi="ar-SA"/>
        </w:rPr>
        <w:t>第四章 移交与接收</w:t>
      </w:r>
    </w:p>
    <w:p w14:paraId="0494D055">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0" w:firstLineChars="0"/>
        <w:jc w:val="center"/>
        <w:textAlignment w:val="auto"/>
        <w:rPr>
          <w:rFonts w:hint="eastAsia" w:ascii="黑体" w:hAnsi="黑体" w:eastAsia="黑体" w:cs="黑体"/>
          <w:kern w:val="2"/>
          <w:sz w:val="32"/>
          <w:szCs w:val="32"/>
          <w:highlight w:val="none"/>
          <w:lang w:val="en-US" w:eastAsia="zh-CN" w:bidi="ar-SA"/>
        </w:rPr>
      </w:pPr>
    </w:p>
    <w:p w14:paraId="CF44284B">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第十三条 配套公服设施竣工验收合格后，建设单位应在规定时限内（一般不超过</w:t>
      </w:r>
      <w:r>
        <w:rPr>
          <w:rFonts w:hint="eastAsia" w:ascii="仿宋_GB2312" w:hAnsi="仿宋_GB2312" w:eastAsia="仿宋_GB2312" w:cs="仿宋_GB2312"/>
          <w:sz w:val="32"/>
          <w:szCs w:val="32"/>
          <w:highlight w:val="none"/>
          <w:lang w:val="en-US" w:eastAsia="zh-CN"/>
        </w:rPr>
        <w:t>办理完首次登记后</w:t>
      </w:r>
      <w:r>
        <w:rPr>
          <w:rFonts w:hint="eastAsia" w:ascii="仿宋_GB2312" w:hAnsi="仿宋_GB2312" w:eastAsia="仿宋_GB2312" w:cs="仿宋_GB2312"/>
          <w:sz w:val="32"/>
          <w:szCs w:val="32"/>
          <w:highlight w:val="none"/>
        </w:rPr>
        <w:t>30日），按照土地出让合同约定向接收管理单位办理移交手续。</w:t>
      </w:r>
    </w:p>
    <w:p w14:paraId="50B2D662">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第十四条 移交应具备以下条件：</w:t>
      </w:r>
    </w:p>
    <w:p w14:paraId="68011F2F">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（一）已完成竣工验收备案；</w:t>
      </w:r>
    </w:p>
    <w:p w14:paraId="34220A7B">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（二）配套设施符合规划要求和设计标准；</w:t>
      </w:r>
    </w:p>
    <w:p w14:paraId="3358196F">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（三）水、电、暖、气等市政配套设施接入到位；</w:t>
      </w:r>
    </w:p>
    <w:p w14:paraId="720E67F0">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（四）已完成与配套设施相关的工程档案资料整理。</w:t>
      </w:r>
    </w:p>
    <w:p w14:paraId="294A7BC8">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第十五条 配套公服设施建成后，</w:t>
      </w:r>
      <w:r>
        <w:rPr>
          <w:rFonts w:hint="eastAsia" w:ascii="仿宋_GB2312" w:hAnsi="仿宋_GB2312" w:eastAsia="仿宋_GB2312" w:cs="仿宋_GB2312"/>
          <w:sz w:val="32"/>
          <w:szCs w:val="32"/>
          <w:highlight w:val="none"/>
          <w:lang w:val="en-US" w:eastAsia="zh-CN"/>
        </w:rPr>
        <w:t>开发建设单位</w:t>
      </w:r>
      <w:r>
        <w:rPr>
          <w:rFonts w:hint="eastAsia" w:ascii="仿宋_GB2312" w:hAnsi="仿宋_GB2312" w:eastAsia="仿宋_GB2312" w:cs="仿宋_GB2312"/>
          <w:sz w:val="32"/>
          <w:szCs w:val="32"/>
          <w:highlight w:val="none"/>
        </w:rPr>
        <w:t>应当主动配合接收管理单位完成不动产首次登记或产权移交手续，移交接收的公共配套服务设施的建筑面积应当以</w:t>
      </w:r>
      <w:r>
        <w:rPr>
          <w:rFonts w:hint="eastAsia" w:ascii="仿宋_GB2312" w:hAnsi="仿宋_GB2312" w:eastAsia="仿宋_GB2312" w:cs="仿宋_GB2312"/>
          <w:sz w:val="32"/>
          <w:szCs w:val="32"/>
          <w:highlight w:val="none"/>
          <w:lang w:val="en-US" w:eastAsia="zh-CN"/>
        </w:rPr>
        <w:t>房</w:t>
      </w:r>
      <w:r>
        <w:rPr>
          <w:rFonts w:hint="eastAsia" w:ascii="仿宋_GB2312" w:hAnsi="仿宋_GB2312" w:eastAsia="仿宋_GB2312" w:cs="仿宋_GB2312"/>
          <w:sz w:val="32"/>
          <w:szCs w:val="32"/>
          <w:highlight w:val="none"/>
        </w:rPr>
        <w:t>产测绘面积为准。</w:t>
      </w:r>
    </w:p>
    <w:p w14:paraId="63B5BC4F">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（一）对于住宅项目建设的公共配套服务设施，不得纳入预售范围。</w:t>
      </w:r>
    </w:p>
    <w:p w14:paraId="6A176DC5">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（二）开发建设单位在申请不动产首次登记后，针对有移交接收单位的公共配套服务设施申请权属转移登记，由不动产登记机构在不动产登记簿上予以记载。</w:t>
      </w:r>
    </w:p>
    <w:p w14:paraId="180C8A97">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（三）不动产登记机构在办理公共配套服务设施产权登记手续时，应当在不动产登记薄上注明其规划用途，不得挪作他用</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lang w:val="en-US" w:eastAsia="zh-CN"/>
        </w:rPr>
        <w:t>不得改变用途</w:t>
      </w:r>
      <w:r>
        <w:rPr>
          <w:rFonts w:hint="eastAsia" w:ascii="仿宋_GB2312" w:hAnsi="仿宋_GB2312" w:eastAsia="仿宋_GB2312" w:cs="仿宋_GB2312"/>
          <w:sz w:val="32"/>
          <w:szCs w:val="32"/>
          <w:highlight w:val="none"/>
        </w:rPr>
        <w:t xml:space="preserve">。 </w:t>
      </w:r>
    </w:p>
    <w:p w14:paraId="186E6236">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（四）对于未按规定移交公共配套服务设施的开发建设单位，作为违诺信息记入信用档案向社会公布，接收管理单位或者全体业主可依法通过法律途径主张权利。</w:t>
      </w:r>
    </w:p>
    <w:p w14:paraId="4BC439B6">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第十</w:t>
      </w:r>
      <w:r>
        <w:rPr>
          <w:rFonts w:hint="eastAsia" w:ascii="仿宋_GB2312" w:hAnsi="仿宋_GB2312" w:eastAsia="仿宋_GB2312" w:cs="仿宋_GB2312"/>
          <w:sz w:val="32"/>
          <w:szCs w:val="32"/>
          <w:highlight w:val="none"/>
          <w:lang w:val="en-US" w:eastAsia="zh-CN"/>
        </w:rPr>
        <w:t>六</w:t>
      </w:r>
      <w:r>
        <w:rPr>
          <w:rFonts w:hint="eastAsia" w:ascii="仿宋_GB2312" w:hAnsi="仿宋_GB2312" w:eastAsia="仿宋_GB2312" w:cs="仿宋_GB2312"/>
          <w:sz w:val="32"/>
          <w:szCs w:val="32"/>
          <w:highlight w:val="none"/>
        </w:rPr>
        <w:t>条 移交接收配套公服设施的程序如下：</w:t>
      </w:r>
    </w:p>
    <w:p w14:paraId="15865252">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（一）建设单位向接收管理单位提交移交申请及相关资料；</w:t>
      </w:r>
    </w:p>
    <w:p w14:paraId="09B456EB">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（二）接收管理单位组织现场查验，确认配套设施是否符合移交条件；</w:t>
      </w:r>
    </w:p>
    <w:p w14:paraId="3FEC6330">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（三）查验合格后，双方签订移交协议书；</w:t>
      </w:r>
    </w:p>
    <w:p w14:paraId="2B3B01E3">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（四）建设单位配合接收管理单位完成不动产登记手续。</w:t>
      </w:r>
    </w:p>
    <w:p w14:paraId="9DF014A1">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第十</w:t>
      </w:r>
      <w:r>
        <w:rPr>
          <w:rFonts w:hint="eastAsia" w:ascii="仿宋_GB2312" w:hAnsi="仿宋_GB2312" w:eastAsia="仿宋_GB2312" w:cs="仿宋_GB2312"/>
          <w:sz w:val="32"/>
          <w:szCs w:val="32"/>
          <w:highlight w:val="none"/>
          <w:lang w:val="en-US" w:eastAsia="zh-CN"/>
        </w:rPr>
        <w:t>七</w:t>
      </w:r>
      <w:r>
        <w:rPr>
          <w:rFonts w:hint="eastAsia" w:ascii="仿宋_GB2312" w:hAnsi="仿宋_GB2312" w:eastAsia="仿宋_GB2312" w:cs="仿宋_GB2312"/>
          <w:sz w:val="32"/>
          <w:szCs w:val="32"/>
          <w:highlight w:val="none"/>
        </w:rPr>
        <w:t>条 移交过程所涉税费由相应纳税主体承担。</w:t>
      </w:r>
    </w:p>
    <w:p w14:paraId="78B02C12">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第十</w:t>
      </w:r>
      <w:r>
        <w:rPr>
          <w:rFonts w:hint="eastAsia" w:ascii="仿宋_GB2312" w:hAnsi="仿宋_GB2312" w:eastAsia="仿宋_GB2312" w:cs="仿宋_GB2312"/>
          <w:sz w:val="32"/>
          <w:szCs w:val="32"/>
          <w:highlight w:val="none"/>
          <w:lang w:val="en-US" w:eastAsia="zh-CN"/>
        </w:rPr>
        <w:t>八</w:t>
      </w:r>
      <w:r>
        <w:rPr>
          <w:rFonts w:hint="eastAsia" w:ascii="仿宋_GB2312" w:hAnsi="仿宋_GB2312" w:eastAsia="仿宋_GB2312" w:cs="仿宋_GB2312"/>
          <w:sz w:val="32"/>
          <w:szCs w:val="32"/>
          <w:highlight w:val="none"/>
        </w:rPr>
        <w:t>条 各类配套公服设施的移交接收单位：</w:t>
      </w:r>
    </w:p>
    <w:p w14:paraId="C0C1A05C">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（一）教育设施移交师教育部门</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lang w:val="en-US" w:eastAsia="zh-CN"/>
        </w:rPr>
        <w:t>其中幼儿园移交属地团场</w:t>
      </w:r>
      <w:r>
        <w:rPr>
          <w:rFonts w:hint="eastAsia" w:ascii="仿宋_GB2312" w:hAnsi="仿宋_GB2312" w:eastAsia="仿宋_GB2312" w:cs="仿宋_GB2312"/>
          <w:sz w:val="32"/>
          <w:szCs w:val="32"/>
          <w:highlight w:val="none"/>
        </w:rPr>
        <w:t>；</w:t>
      </w:r>
    </w:p>
    <w:p w14:paraId="A5925BA5">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sz w:val="32"/>
          <w:szCs w:val="32"/>
          <w:highlight w:val="none"/>
        </w:rPr>
        <w:t>（二）医疗卫生设施移交属地团场</w:t>
      </w:r>
      <w:r>
        <w:rPr>
          <w:rFonts w:hint="eastAsia" w:ascii="仿宋_GB2312" w:hAnsi="仿宋_GB2312" w:eastAsia="仿宋_GB2312" w:cs="仿宋_GB2312"/>
          <w:sz w:val="32"/>
          <w:szCs w:val="32"/>
          <w:highlight w:val="none"/>
          <w:lang w:eastAsia="zh-CN"/>
        </w:rPr>
        <w:t>；</w:t>
      </w:r>
    </w:p>
    <w:p w14:paraId="7F147110">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仿宋_GB2312" w:hAnsi="仿宋_GB2312" w:eastAsia="仿宋_GB2312" w:cs="仿宋_GB2312"/>
          <w:color w:val="000000" w:themeColor="text1"/>
          <w:sz w:val="32"/>
          <w:szCs w:val="32"/>
          <w:highlight w:val="none"/>
          <w14:textFill>
            <w14:solidFill>
              <w14:schemeClr w14:val="tx1"/>
            </w14:solidFill>
          </w14:textFill>
        </w:rPr>
      </w:pPr>
      <w:r>
        <w:rPr>
          <w:rFonts w:hint="eastAsia" w:ascii="仿宋_GB2312" w:hAnsi="仿宋_GB2312" w:eastAsia="仿宋_GB2312" w:cs="仿宋_GB2312"/>
          <w:sz w:val="32"/>
          <w:szCs w:val="32"/>
          <w:highlight w:val="none"/>
        </w:rPr>
        <w:t>（三）社区党群服务中</w:t>
      </w:r>
      <w:r>
        <w:rPr>
          <w:rFonts w:hint="eastAsia" w:ascii="仿宋_GB2312" w:hAnsi="仿宋_GB2312" w:eastAsia="仿宋_GB2312" w:cs="仿宋_GB2312"/>
          <w:color w:val="000000" w:themeColor="text1"/>
          <w:sz w:val="32"/>
          <w:szCs w:val="32"/>
          <w:highlight w:val="none"/>
          <w14:textFill>
            <w14:solidFill>
              <w14:schemeClr w14:val="tx1"/>
            </w14:solidFill>
          </w14:textFill>
        </w:rPr>
        <w:t>心、社区服务用房移交属地团场；</w:t>
      </w:r>
    </w:p>
    <w:p w14:paraId="E4BF4755">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仿宋_GB2312" w:hAnsi="仿宋_GB2312" w:eastAsia="仿宋_GB2312" w:cs="仿宋_GB2312"/>
          <w:color w:val="000000" w:themeColor="text1"/>
          <w:sz w:val="32"/>
          <w:szCs w:val="32"/>
          <w:highlight w:val="none"/>
          <w14:textFill>
            <w14:solidFill>
              <w14:schemeClr w14:val="tx1"/>
            </w14:solidFill>
          </w14:textFill>
        </w:rPr>
      </w:pPr>
      <w:r>
        <w:rPr>
          <w:rFonts w:hint="eastAsia" w:ascii="仿宋_GB2312" w:hAnsi="仿宋_GB2312" w:eastAsia="仿宋_GB2312" w:cs="仿宋_GB2312"/>
          <w:color w:val="000000" w:themeColor="text1"/>
          <w:sz w:val="32"/>
          <w:szCs w:val="32"/>
          <w:highlight w:val="none"/>
          <w14:textFill>
            <w14:solidFill>
              <w14:schemeClr w14:val="tx1"/>
            </w14:solidFill>
          </w14:textFill>
        </w:rPr>
        <w:t>（四）社区警务室移交师公安部门或属地团场；</w:t>
      </w:r>
    </w:p>
    <w:p w14:paraId="A1F84C8A">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仿宋_GB2312" w:hAnsi="仿宋_GB2312" w:eastAsia="仿宋_GB2312" w:cs="仿宋_GB2312"/>
          <w:color w:val="000000" w:themeColor="text1"/>
          <w:sz w:val="32"/>
          <w:szCs w:val="32"/>
          <w:highlight w:val="none"/>
          <w14:textFill>
            <w14:solidFill>
              <w14:schemeClr w14:val="tx1"/>
            </w14:solidFill>
          </w14:textFill>
        </w:rPr>
      </w:pPr>
      <w:r>
        <w:rPr>
          <w:rFonts w:hint="eastAsia" w:ascii="仿宋_GB2312" w:hAnsi="仿宋_GB2312" w:eastAsia="仿宋_GB2312" w:cs="仿宋_GB2312"/>
          <w:color w:val="000000" w:themeColor="text1"/>
          <w:sz w:val="32"/>
          <w:szCs w:val="32"/>
          <w:highlight w:val="none"/>
          <w14:textFill>
            <w14:solidFill>
              <w14:schemeClr w14:val="tx1"/>
            </w14:solidFill>
          </w14:textFill>
        </w:rPr>
        <w:t>（五）文化娱乐设施、体育设施移交属地团场或相关主管部门；</w:t>
      </w:r>
    </w:p>
    <w:p w14:paraId="4159640C">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（六）养老服务设施移交属地团场；</w:t>
      </w:r>
    </w:p>
    <w:p w14:paraId="73836D71">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仿宋_GB2312" w:hAnsi="仿宋_GB2312" w:eastAsia="仿宋_GB2312" w:cs="仿宋_GB2312"/>
          <w:color w:val="FF0000"/>
          <w:sz w:val="32"/>
          <w:szCs w:val="32"/>
          <w:highlight w:val="none"/>
          <w:lang w:eastAsia="zh-CN"/>
        </w:rPr>
      </w:pPr>
      <w:r>
        <w:rPr>
          <w:rFonts w:hint="eastAsia" w:ascii="仿宋_GB2312" w:hAnsi="仿宋_GB2312" w:eastAsia="仿宋_GB2312" w:cs="仿宋_GB2312"/>
          <w:color w:val="000000" w:themeColor="text1"/>
          <w:sz w:val="32"/>
          <w:szCs w:val="32"/>
          <w:highlight w:val="none"/>
          <w:lang w:eastAsia="zh-CN"/>
          <w14:textFill>
            <w14:solidFill>
              <w14:schemeClr w14:val="tx1"/>
            </w14:solidFill>
          </w14:textFill>
        </w:rPr>
        <w:t>（</w:t>
      </w:r>
      <w:r>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t>七</w:t>
      </w:r>
      <w:r>
        <w:rPr>
          <w:rFonts w:hint="eastAsia" w:ascii="仿宋_GB2312" w:hAnsi="仿宋_GB2312" w:eastAsia="仿宋_GB2312" w:cs="仿宋_GB2312"/>
          <w:color w:val="000000" w:themeColor="text1"/>
          <w:sz w:val="32"/>
          <w:szCs w:val="32"/>
          <w:highlight w:val="none"/>
          <w:lang w:eastAsia="zh-CN"/>
          <w14:textFill>
            <w14:solidFill>
              <w14:schemeClr w14:val="tx1"/>
            </w14:solidFill>
          </w14:textFill>
        </w:rPr>
        <w:t>）托育服务设施</w:t>
      </w:r>
      <w:r>
        <w:rPr>
          <w:rFonts w:hint="eastAsia" w:ascii="仿宋_GB2312" w:hAnsi="仿宋_GB2312" w:eastAsia="仿宋_GB2312" w:cs="仿宋_GB2312"/>
          <w:color w:val="000000" w:themeColor="text1"/>
          <w:sz w:val="32"/>
          <w:szCs w:val="32"/>
          <w:highlight w:val="none"/>
          <w14:textFill>
            <w14:solidFill>
              <w14:schemeClr w14:val="tx1"/>
            </w14:solidFill>
          </w14:textFill>
        </w:rPr>
        <w:t>移交属地团场；</w:t>
      </w:r>
    </w:p>
    <w:p w14:paraId="F074D6F1">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w:t>
      </w:r>
      <w:r>
        <w:rPr>
          <w:rFonts w:hint="eastAsia" w:ascii="仿宋_GB2312" w:hAnsi="仿宋_GB2312" w:eastAsia="仿宋_GB2312" w:cs="仿宋_GB2312"/>
          <w:sz w:val="32"/>
          <w:szCs w:val="32"/>
          <w:highlight w:val="none"/>
          <w:lang w:val="en-US" w:eastAsia="zh-CN"/>
        </w:rPr>
        <w:t>八</w:t>
      </w:r>
      <w:r>
        <w:rPr>
          <w:rFonts w:hint="eastAsia" w:ascii="仿宋_GB2312" w:hAnsi="仿宋_GB2312" w:eastAsia="仿宋_GB2312" w:cs="仿宋_GB2312"/>
          <w:sz w:val="32"/>
          <w:szCs w:val="32"/>
          <w:highlight w:val="none"/>
        </w:rPr>
        <w:t>）市政公用设施移交师城市管理部门或属地团场；</w:t>
      </w:r>
    </w:p>
    <w:p w14:paraId="C452CE71">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w:t>
      </w:r>
      <w:r>
        <w:rPr>
          <w:rFonts w:hint="eastAsia" w:ascii="仿宋_GB2312" w:hAnsi="仿宋_GB2312" w:eastAsia="仿宋_GB2312" w:cs="仿宋_GB2312"/>
          <w:sz w:val="32"/>
          <w:szCs w:val="32"/>
          <w:highlight w:val="none"/>
          <w:lang w:val="en-US" w:eastAsia="zh-CN"/>
        </w:rPr>
        <w:t>九</w:t>
      </w:r>
      <w:r>
        <w:rPr>
          <w:rFonts w:hint="eastAsia" w:ascii="仿宋_GB2312" w:hAnsi="仿宋_GB2312" w:eastAsia="仿宋_GB2312" w:cs="仿宋_GB2312"/>
          <w:sz w:val="32"/>
          <w:szCs w:val="32"/>
          <w:highlight w:val="none"/>
        </w:rPr>
        <w:t>）物业管理用房按规定移交物业服务企业，归全体业主共有。</w:t>
      </w:r>
    </w:p>
    <w:p w14:paraId="32E3304E">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第十</w:t>
      </w:r>
      <w:r>
        <w:rPr>
          <w:rFonts w:hint="eastAsia" w:ascii="仿宋_GB2312" w:hAnsi="仿宋_GB2312" w:eastAsia="仿宋_GB2312" w:cs="仿宋_GB2312"/>
          <w:sz w:val="32"/>
          <w:szCs w:val="32"/>
          <w:highlight w:val="none"/>
          <w:lang w:val="en-US" w:eastAsia="zh-CN"/>
        </w:rPr>
        <w:t>九</w:t>
      </w:r>
      <w:r>
        <w:rPr>
          <w:rFonts w:hint="eastAsia" w:ascii="仿宋_GB2312" w:hAnsi="仿宋_GB2312" w:eastAsia="仿宋_GB2312" w:cs="仿宋_GB2312"/>
          <w:sz w:val="32"/>
          <w:szCs w:val="32"/>
          <w:highlight w:val="none"/>
        </w:rPr>
        <w:t>条 配套公服设施移交后，接收管理单位应及时向不动产登记机构申请办理不动产登记。产权归属政府的配套公服设施，其不动产权不得转让、不得抵押。</w:t>
      </w:r>
    </w:p>
    <w:p w14:paraId="678F66A8">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产权归各团场的配套公服设施由各团场指定具体部门作为归口管理单位，做好辖区配套公服设施的台账登记、产权接收、使用管理等工作。</w:t>
      </w:r>
    </w:p>
    <w:p w14:paraId="6A615226">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第</w:t>
      </w:r>
      <w:r>
        <w:rPr>
          <w:rFonts w:hint="eastAsia" w:ascii="仿宋_GB2312" w:hAnsi="仿宋_GB2312" w:eastAsia="仿宋_GB2312" w:cs="仿宋_GB2312"/>
          <w:sz w:val="32"/>
          <w:szCs w:val="32"/>
          <w:highlight w:val="none"/>
          <w:lang w:val="en-US" w:eastAsia="zh-CN"/>
        </w:rPr>
        <w:t>二十</w:t>
      </w:r>
      <w:r>
        <w:rPr>
          <w:rFonts w:hint="eastAsia" w:ascii="仿宋_GB2312" w:hAnsi="仿宋_GB2312" w:eastAsia="仿宋_GB2312" w:cs="仿宋_GB2312"/>
          <w:sz w:val="32"/>
          <w:szCs w:val="32"/>
          <w:highlight w:val="none"/>
        </w:rPr>
        <w:t>条 需要移交的公共配套服务设施，在移交前由开发建设单位负责管理维护，并承担所需费用</w:t>
      </w:r>
      <w:r>
        <w:rPr>
          <w:rFonts w:hint="eastAsia" w:ascii="仿宋_GB2312" w:hAnsi="仿宋_GB2312" w:eastAsia="仿宋_GB2312" w:cs="仿宋_GB2312"/>
          <w:sz w:val="32"/>
          <w:szCs w:val="32"/>
          <w:highlight w:val="none"/>
          <w:lang w:val="en-US" w:eastAsia="zh-CN"/>
        </w:rPr>
        <w:t>；</w:t>
      </w:r>
      <w:r>
        <w:rPr>
          <w:rFonts w:hint="eastAsia" w:ascii="仿宋_GB2312" w:hAnsi="仿宋_GB2312" w:eastAsia="仿宋_GB2312" w:cs="仿宋_GB2312"/>
          <w:sz w:val="32"/>
          <w:szCs w:val="32"/>
          <w:highlight w:val="none"/>
        </w:rPr>
        <w:t>移交后由接收管理单位负责管理维护，并承担所需费用；在建设工程质量保修期限内的，按照《建设工程质量管理条例》的相关规定处理。</w:t>
      </w:r>
    </w:p>
    <w:p w14:paraId="33CB2CEC">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default"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第</w:t>
      </w:r>
      <w:r>
        <w:rPr>
          <w:rFonts w:hint="eastAsia" w:ascii="仿宋_GB2312" w:hAnsi="仿宋_GB2312" w:eastAsia="仿宋_GB2312" w:cs="仿宋_GB2312"/>
          <w:sz w:val="32"/>
          <w:szCs w:val="32"/>
          <w:highlight w:val="none"/>
        </w:rPr>
        <w:t>二十一</w:t>
      </w:r>
      <w:r>
        <w:rPr>
          <w:rFonts w:hint="eastAsia" w:ascii="仿宋_GB2312" w:hAnsi="仿宋_GB2312" w:eastAsia="仿宋_GB2312" w:cs="仿宋_GB2312"/>
          <w:sz w:val="32"/>
          <w:szCs w:val="32"/>
          <w:highlight w:val="none"/>
          <w:lang w:val="en-US" w:eastAsia="zh-CN"/>
        </w:rPr>
        <w:t>条 本规定实施前属于无偿移交的已配建公共配套服务设施且计入土地出让金的，开发建设单位愿意无偿移交的，可向师自然资源和规划局申请回退相应土地出让金。不愿意无偿移交的，按照完整社区和社区生活圈配建公服设施要求，经团场及行业主管部门综合分析研判后，属允许调整的，可向师自然资源和规划局提出用途变更申请，同时补缴相应土地出让金；确需保留的，由接收管理单位以成本价回购使用，土地出让金不予回退。</w:t>
      </w:r>
    </w:p>
    <w:p w14:paraId="063C4DAC">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仿宋_GB2312" w:hAnsi="仿宋_GB2312" w:eastAsia="仿宋_GB2312" w:cs="仿宋_GB2312"/>
          <w:sz w:val="32"/>
          <w:szCs w:val="32"/>
          <w:highlight w:val="none"/>
        </w:rPr>
      </w:pPr>
    </w:p>
    <w:p w14:paraId="5C1AA928">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0" w:firstLineChars="0"/>
        <w:jc w:val="center"/>
        <w:textAlignment w:val="auto"/>
        <w:rPr>
          <w:rFonts w:hint="eastAsia" w:ascii="黑体" w:hAnsi="黑体" w:eastAsia="黑体" w:cs="黑体"/>
          <w:kern w:val="2"/>
          <w:sz w:val="32"/>
          <w:szCs w:val="32"/>
          <w:highlight w:val="none"/>
          <w:lang w:val="en-US" w:eastAsia="zh-CN" w:bidi="ar-SA"/>
        </w:rPr>
      </w:pPr>
      <w:r>
        <w:rPr>
          <w:rFonts w:hint="eastAsia" w:ascii="黑体" w:hAnsi="黑体" w:eastAsia="黑体" w:cs="黑体"/>
          <w:kern w:val="2"/>
          <w:sz w:val="32"/>
          <w:szCs w:val="32"/>
          <w:highlight w:val="none"/>
          <w:lang w:val="en-US" w:eastAsia="zh-CN" w:bidi="ar-SA"/>
        </w:rPr>
        <w:t>第五章 使用与管理</w:t>
      </w:r>
    </w:p>
    <w:p w14:paraId="2F724C8B">
      <w:pPr>
        <w:keepNext w:val="0"/>
        <w:keepLines w:val="0"/>
        <w:pageBreakBefore w:val="0"/>
        <w:widowControl w:val="0"/>
        <w:numPr>
          <w:ilvl w:val="0"/>
          <w:numId w:val="0"/>
        </w:numPr>
        <w:kinsoku/>
        <w:wordWrap/>
        <w:overflowPunct/>
        <w:topLinePunct w:val="0"/>
        <w:autoSpaceDE/>
        <w:autoSpaceDN/>
        <w:bidi w:val="0"/>
        <w:adjustRightInd/>
        <w:snapToGrid/>
        <w:spacing w:line="540" w:lineRule="exact"/>
        <w:jc w:val="both"/>
        <w:textAlignment w:val="auto"/>
        <w:rPr>
          <w:rFonts w:hint="eastAsia" w:ascii="黑体" w:hAnsi="黑体" w:eastAsia="黑体" w:cs="黑体"/>
          <w:kern w:val="2"/>
          <w:sz w:val="32"/>
          <w:szCs w:val="32"/>
          <w:highlight w:val="none"/>
          <w:lang w:val="en-US" w:eastAsia="zh-CN" w:bidi="ar-SA"/>
        </w:rPr>
      </w:pPr>
    </w:p>
    <w:p w14:paraId="1DB83DF5">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第二十</w:t>
      </w:r>
      <w:r>
        <w:rPr>
          <w:rFonts w:hint="eastAsia" w:ascii="仿宋_GB2312" w:hAnsi="仿宋_GB2312" w:eastAsia="仿宋_GB2312" w:cs="仿宋_GB2312"/>
          <w:sz w:val="32"/>
          <w:szCs w:val="32"/>
          <w:highlight w:val="none"/>
          <w:lang w:val="en-US" w:eastAsia="zh-CN"/>
        </w:rPr>
        <w:t>二</w:t>
      </w:r>
      <w:r>
        <w:rPr>
          <w:rFonts w:hint="eastAsia" w:ascii="仿宋_GB2312" w:hAnsi="仿宋_GB2312" w:eastAsia="仿宋_GB2312" w:cs="仿宋_GB2312"/>
          <w:sz w:val="32"/>
          <w:szCs w:val="32"/>
          <w:highlight w:val="none"/>
        </w:rPr>
        <w:t>条 配套公服设施应按照规划用途使用，任何单位和个人不得擅自改变其使用性质。</w:t>
      </w:r>
    </w:p>
    <w:p w14:paraId="96F0F191">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第二十</w:t>
      </w:r>
      <w:r>
        <w:rPr>
          <w:rFonts w:hint="eastAsia" w:ascii="仿宋_GB2312" w:hAnsi="仿宋_GB2312" w:eastAsia="仿宋_GB2312" w:cs="仿宋_GB2312"/>
          <w:sz w:val="32"/>
          <w:szCs w:val="32"/>
          <w:highlight w:val="none"/>
          <w:lang w:val="en-US" w:eastAsia="zh-CN"/>
        </w:rPr>
        <w:t>三</w:t>
      </w:r>
      <w:r>
        <w:rPr>
          <w:rFonts w:hint="eastAsia" w:ascii="仿宋_GB2312" w:hAnsi="仿宋_GB2312" w:eastAsia="仿宋_GB2312" w:cs="仿宋_GB2312"/>
          <w:sz w:val="32"/>
          <w:szCs w:val="32"/>
          <w:highlight w:val="none"/>
        </w:rPr>
        <w:t>条 配套公服设施的日常管理、维护由接收管理单位或运营管理单位负责。移交前由建设单位负责管理和养护。</w:t>
      </w:r>
    </w:p>
    <w:p w14:paraId="0D37FD89">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第二十</w:t>
      </w:r>
      <w:r>
        <w:rPr>
          <w:rFonts w:hint="eastAsia" w:ascii="仿宋_GB2312" w:hAnsi="仿宋_GB2312" w:eastAsia="仿宋_GB2312" w:cs="仿宋_GB2312"/>
          <w:sz w:val="32"/>
          <w:szCs w:val="32"/>
          <w:highlight w:val="none"/>
          <w:lang w:val="en-US" w:eastAsia="zh-CN"/>
        </w:rPr>
        <w:t>四</w:t>
      </w:r>
      <w:r>
        <w:rPr>
          <w:rFonts w:hint="eastAsia" w:ascii="仿宋_GB2312" w:hAnsi="仿宋_GB2312" w:eastAsia="仿宋_GB2312" w:cs="仿宋_GB2312"/>
          <w:sz w:val="32"/>
          <w:szCs w:val="32"/>
          <w:highlight w:val="none"/>
        </w:rPr>
        <w:t>条 各团场应建立健全配套公服设施管理台账，定期统计、更新设施使用状况。</w:t>
      </w:r>
    </w:p>
    <w:p w14:paraId="5065C335">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第二十</w:t>
      </w:r>
      <w:r>
        <w:rPr>
          <w:rFonts w:hint="eastAsia" w:ascii="仿宋_GB2312" w:hAnsi="仿宋_GB2312" w:eastAsia="仿宋_GB2312" w:cs="仿宋_GB2312"/>
          <w:sz w:val="32"/>
          <w:szCs w:val="32"/>
          <w:highlight w:val="none"/>
          <w:lang w:val="en-US" w:eastAsia="zh-CN"/>
        </w:rPr>
        <w:t>五</w:t>
      </w:r>
      <w:r>
        <w:rPr>
          <w:rFonts w:hint="eastAsia" w:ascii="仿宋_GB2312" w:hAnsi="仿宋_GB2312" w:eastAsia="仿宋_GB2312" w:cs="仿宋_GB2312"/>
          <w:sz w:val="32"/>
          <w:szCs w:val="32"/>
          <w:highlight w:val="none"/>
        </w:rPr>
        <w:t>条 配套公服设施的使用管理应遵循公益性原则。养老服务设施、社区服务设施等应优先保障社区居民公共服务需求。</w:t>
      </w:r>
    </w:p>
    <w:p w14:paraId="6E4D6ACF">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default"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rPr>
        <w:t>接收管理单位不得闲置配套公服设施</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lang w:val="en-US" w:eastAsia="zh-CN"/>
        </w:rPr>
        <w:t>对暂不具备使用条件的的配套公服设施，接收管理单位可制定临时过度利用方案，报师行业主管部门备案，优先用于社区公益类临时服务，严禁改变规划用途，进一步细化闲置管控落地举措。</w:t>
      </w:r>
    </w:p>
    <w:p w14:paraId="603D747D">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仿宋_GB2312" w:hAnsi="仿宋_GB2312" w:eastAsia="仿宋_GB2312" w:cs="仿宋_GB2312"/>
          <w:sz w:val="32"/>
          <w:szCs w:val="32"/>
          <w:highlight w:val="none"/>
        </w:rPr>
      </w:pPr>
    </w:p>
    <w:p w14:paraId="A646573D">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0" w:firstLineChars="0"/>
        <w:jc w:val="center"/>
        <w:textAlignment w:val="auto"/>
        <w:rPr>
          <w:rFonts w:hint="eastAsia" w:ascii="黑体" w:hAnsi="黑体" w:eastAsia="黑体" w:cs="黑体"/>
          <w:kern w:val="2"/>
          <w:sz w:val="32"/>
          <w:szCs w:val="32"/>
          <w:highlight w:val="none"/>
          <w:lang w:val="en-US" w:eastAsia="zh-CN" w:bidi="ar-SA"/>
        </w:rPr>
      </w:pPr>
      <w:r>
        <w:rPr>
          <w:rFonts w:hint="eastAsia" w:ascii="黑体" w:hAnsi="黑体" w:eastAsia="黑体" w:cs="黑体"/>
          <w:kern w:val="2"/>
          <w:sz w:val="32"/>
          <w:szCs w:val="32"/>
          <w:highlight w:val="none"/>
          <w:lang w:val="en-US" w:eastAsia="zh-CN" w:bidi="ar-SA"/>
        </w:rPr>
        <w:t>第六章 监督与责任</w:t>
      </w:r>
    </w:p>
    <w:p w14:paraId="2D6119E0">
      <w:pPr>
        <w:keepNext w:val="0"/>
        <w:keepLines w:val="0"/>
        <w:pageBreakBefore w:val="0"/>
        <w:widowControl w:val="0"/>
        <w:numPr>
          <w:ilvl w:val="0"/>
          <w:numId w:val="0"/>
        </w:numPr>
        <w:kinsoku/>
        <w:wordWrap/>
        <w:overflowPunct/>
        <w:topLinePunct w:val="0"/>
        <w:autoSpaceDE/>
        <w:autoSpaceDN/>
        <w:bidi w:val="0"/>
        <w:adjustRightInd/>
        <w:snapToGrid/>
        <w:spacing w:line="540" w:lineRule="exact"/>
        <w:jc w:val="both"/>
        <w:textAlignment w:val="auto"/>
        <w:rPr>
          <w:rFonts w:hint="eastAsia" w:ascii="黑体" w:hAnsi="黑体" w:eastAsia="黑体" w:cs="黑体"/>
          <w:kern w:val="2"/>
          <w:sz w:val="32"/>
          <w:szCs w:val="32"/>
          <w:highlight w:val="none"/>
          <w:lang w:val="en-US" w:eastAsia="zh-CN" w:bidi="ar-SA"/>
        </w:rPr>
      </w:pPr>
    </w:p>
    <w:p w14:paraId="0EC4CA88">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第二十</w:t>
      </w:r>
      <w:r>
        <w:rPr>
          <w:rFonts w:hint="eastAsia" w:ascii="仿宋_GB2312" w:hAnsi="仿宋_GB2312" w:eastAsia="仿宋_GB2312" w:cs="仿宋_GB2312"/>
          <w:sz w:val="32"/>
          <w:szCs w:val="32"/>
          <w:highlight w:val="none"/>
          <w:lang w:val="en-US" w:eastAsia="zh-CN"/>
        </w:rPr>
        <w:t>六</w:t>
      </w:r>
      <w:r>
        <w:rPr>
          <w:rFonts w:hint="eastAsia" w:ascii="仿宋_GB2312" w:hAnsi="仿宋_GB2312" w:eastAsia="仿宋_GB2312" w:cs="仿宋_GB2312"/>
          <w:sz w:val="32"/>
          <w:szCs w:val="32"/>
          <w:highlight w:val="none"/>
        </w:rPr>
        <w:t>条 师住房和城乡建设局应会同相关部门，建立配套公服设施管理工作常态化监督机制，对配套公服设施的规划、建设、移交、使用情况进行监督检查。</w:t>
      </w:r>
    </w:p>
    <w:p w14:paraId="3AB96560">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第二十</w:t>
      </w:r>
      <w:r>
        <w:rPr>
          <w:rFonts w:hint="eastAsia" w:ascii="仿宋_GB2312" w:hAnsi="仿宋_GB2312" w:eastAsia="仿宋_GB2312" w:cs="仿宋_GB2312"/>
          <w:sz w:val="32"/>
          <w:szCs w:val="32"/>
          <w:highlight w:val="none"/>
          <w:lang w:val="en-US" w:eastAsia="zh-CN"/>
        </w:rPr>
        <w:t>七</w:t>
      </w:r>
      <w:r>
        <w:rPr>
          <w:rFonts w:hint="eastAsia" w:ascii="仿宋_GB2312" w:hAnsi="仿宋_GB2312" w:eastAsia="仿宋_GB2312" w:cs="仿宋_GB2312"/>
          <w:sz w:val="32"/>
          <w:szCs w:val="32"/>
          <w:highlight w:val="none"/>
        </w:rPr>
        <w:t>条 对已完成建设未按时移交使用的，各接收管理单位应协调建设单位，并将相关情况上报师相关行政主管部门，同时通报师自然资源和规划局、师住房和城乡建设局等，形成联动监管，必要时可通过法律途径解决。</w:t>
      </w:r>
    </w:p>
    <w:p w14:paraId="8D0CE1D9">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第二十</w:t>
      </w:r>
      <w:r>
        <w:rPr>
          <w:rFonts w:hint="eastAsia" w:ascii="仿宋_GB2312" w:hAnsi="仿宋_GB2312" w:eastAsia="仿宋_GB2312" w:cs="仿宋_GB2312"/>
          <w:sz w:val="32"/>
          <w:szCs w:val="32"/>
          <w:highlight w:val="none"/>
          <w:lang w:val="en-US" w:eastAsia="zh-CN"/>
        </w:rPr>
        <w:t>八</w:t>
      </w:r>
      <w:r>
        <w:rPr>
          <w:rFonts w:hint="eastAsia" w:ascii="仿宋_GB2312" w:hAnsi="仿宋_GB2312" w:eastAsia="仿宋_GB2312" w:cs="仿宋_GB2312"/>
          <w:sz w:val="32"/>
          <w:szCs w:val="32"/>
          <w:highlight w:val="none"/>
        </w:rPr>
        <w:t>条 建设单位有下列行为之一的，由相关部门依法处理，并记入企业信用档案：</w:t>
      </w:r>
    </w:p>
    <w:p w14:paraId="6F165CF8">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（一）未按规划要求配建配套公服设施的；</w:t>
      </w:r>
    </w:p>
    <w:p w14:paraId="36787054">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（二）擅自减少配套公服设施建设规模或降低建设标准的；</w:t>
      </w:r>
    </w:p>
    <w:p w14:paraId="D917C82E">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（三）未按规定时限移交配套公服设施的；</w:t>
      </w:r>
    </w:p>
    <w:p w14:paraId="F04D8CB4">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（四）其他违反本办法规定的行为。</w:t>
      </w:r>
    </w:p>
    <w:p w14:paraId="E21D9751">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第二十</w:t>
      </w:r>
      <w:r>
        <w:rPr>
          <w:rFonts w:hint="eastAsia" w:ascii="仿宋_GB2312" w:hAnsi="仿宋_GB2312" w:eastAsia="仿宋_GB2312" w:cs="仿宋_GB2312"/>
          <w:sz w:val="32"/>
          <w:szCs w:val="32"/>
          <w:highlight w:val="none"/>
          <w:lang w:val="en-US" w:eastAsia="zh-CN"/>
        </w:rPr>
        <w:t>九</w:t>
      </w:r>
      <w:r>
        <w:rPr>
          <w:rFonts w:hint="eastAsia" w:ascii="仿宋_GB2312" w:hAnsi="仿宋_GB2312" w:eastAsia="仿宋_GB2312" w:cs="仿宋_GB2312"/>
          <w:sz w:val="32"/>
          <w:szCs w:val="32"/>
          <w:highlight w:val="none"/>
        </w:rPr>
        <w:t>条 相关部门及其工作人员在配套公服设施管理工作中玩忽职守、滥用职权、徇私舞弊的，依法依规追究责任。</w:t>
      </w:r>
    </w:p>
    <w:p w14:paraId="13EF2118">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仿宋_GB2312" w:hAnsi="仿宋_GB2312" w:eastAsia="仿宋_GB2312" w:cs="仿宋_GB2312"/>
          <w:sz w:val="32"/>
          <w:szCs w:val="32"/>
          <w:highlight w:val="none"/>
        </w:rPr>
      </w:pPr>
    </w:p>
    <w:p w14:paraId="7379C19B">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0" w:firstLineChars="0"/>
        <w:jc w:val="center"/>
        <w:textAlignment w:val="auto"/>
        <w:rPr>
          <w:rFonts w:hint="eastAsia" w:ascii="黑体" w:hAnsi="黑体" w:eastAsia="黑体" w:cs="黑体"/>
          <w:kern w:val="2"/>
          <w:sz w:val="32"/>
          <w:szCs w:val="32"/>
          <w:highlight w:val="none"/>
          <w:lang w:val="en-US" w:eastAsia="zh-CN" w:bidi="ar-SA"/>
        </w:rPr>
      </w:pPr>
      <w:r>
        <w:rPr>
          <w:rFonts w:hint="eastAsia" w:ascii="黑体" w:hAnsi="黑体" w:eastAsia="黑体" w:cs="黑体"/>
          <w:kern w:val="2"/>
          <w:sz w:val="32"/>
          <w:szCs w:val="32"/>
          <w:highlight w:val="none"/>
          <w:lang w:val="en-US" w:eastAsia="zh-CN" w:bidi="ar-SA"/>
        </w:rPr>
        <w:t>第七章 附则</w:t>
      </w:r>
    </w:p>
    <w:p w14:paraId="0FFB0353">
      <w:pPr>
        <w:keepNext w:val="0"/>
        <w:keepLines w:val="0"/>
        <w:pageBreakBefore w:val="0"/>
        <w:widowControl w:val="0"/>
        <w:numPr>
          <w:ilvl w:val="0"/>
          <w:numId w:val="0"/>
        </w:numPr>
        <w:kinsoku/>
        <w:wordWrap/>
        <w:overflowPunct/>
        <w:topLinePunct w:val="0"/>
        <w:autoSpaceDE/>
        <w:autoSpaceDN/>
        <w:bidi w:val="0"/>
        <w:adjustRightInd/>
        <w:snapToGrid/>
        <w:spacing w:line="540" w:lineRule="exact"/>
        <w:jc w:val="both"/>
        <w:textAlignment w:val="auto"/>
        <w:rPr>
          <w:rFonts w:hint="eastAsia" w:ascii="黑体" w:hAnsi="黑体" w:eastAsia="黑体" w:cs="黑体"/>
          <w:kern w:val="2"/>
          <w:sz w:val="32"/>
          <w:szCs w:val="32"/>
          <w:highlight w:val="none"/>
          <w:lang w:val="en-US" w:eastAsia="zh-CN" w:bidi="ar-SA"/>
        </w:rPr>
      </w:pPr>
    </w:p>
    <w:p w14:paraId="A2734639">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第</w:t>
      </w:r>
      <w:r>
        <w:rPr>
          <w:rFonts w:hint="eastAsia" w:ascii="仿宋_GB2312" w:hAnsi="仿宋_GB2312" w:eastAsia="仿宋_GB2312" w:cs="仿宋_GB2312"/>
          <w:sz w:val="32"/>
          <w:szCs w:val="32"/>
          <w:highlight w:val="none"/>
          <w:lang w:val="en-US" w:eastAsia="zh-CN"/>
        </w:rPr>
        <w:t>三十</w:t>
      </w:r>
      <w:r>
        <w:rPr>
          <w:rFonts w:hint="eastAsia" w:ascii="仿宋_GB2312" w:hAnsi="仿宋_GB2312" w:eastAsia="仿宋_GB2312" w:cs="仿宋_GB2312"/>
          <w:sz w:val="32"/>
          <w:szCs w:val="32"/>
          <w:highlight w:val="none"/>
        </w:rPr>
        <w:t xml:space="preserve">条 </w:t>
      </w:r>
      <w:r>
        <w:rPr>
          <w:rFonts w:hint="eastAsia" w:ascii="仿宋_GB2312" w:hAnsi="仿宋_GB2312" w:eastAsia="仿宋_GB2312" w:cs="仿宋_GB2312"/>
          <w:sz w:val="32"/>
          <w:szCs w:val="32"/>
          <w:highlight w:val="none"/>
          <w:lang w:val="en-US" w:eastAsia="zh-CN"/>
        </w:rPr>
        <w:t xml:space="preserve"> </w:t>
      </w:r>
      <w:r>
        <w:rPr>
          <w:rFonts w:hint="eastAsia" w:ascii="仿宋_GB2312" w:hAnsi="仿宋_GB2312" w:eastAsia="仿宋_GB2312" w:cs="仿宋_GB2312"/>
          <w:sz w:val="32"/>
          <w:szCs w:val="32"/>
          <w:highlight w:val="none"/>
        </w:rPr>
        <w:t>本办法自发布之日起施行。此前有关规定与本办法不一致的，以本办法为准。</w:t>
      </w:r>
    </w:p>
    <w:p w14:paraId="3980BB96">
      <w:pPr>
        <w:keepNext w:val="0"/>
        <w:keepLines w:val="0"/>
        <w:pageBreakBefore w:val="0"/>
        <w:widowControl w:val="0"/>
        <w:kinsoku/>
        <w:wordWrap/>
        <w:overflowPunct/>
        <w:topLinePunct w:val="0"/>
        <w:autoSpaceDE/>
        <w:autoSpaceDN/>
        <w:bidi w:val="0"/>
        <w:adjustRightInd/>
        <w:snapToGrid/>
        <w:spacing w:line="540" w:lineRule="exact"/>
        <w:textAlignment w:val="auto"/>
        <w:rPr>
          <w:rFonts w:hint="eastAsia" w:ascii="仿宋_GB2312" w:hAnsi="仿宋_GB2312" w:eastAsia="仿宋_GB2312" w:cs="仿宋_GB2312"/>
          <w:sz w:val="32"/>
          <w:szCs w:val="32"/>
          <w:highlight w:val="none"/>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A29C667"/>
    <w:multiLevelType w:val="singleLevel"/>
    <w:tmpl w:val="FA29C667"/>
    <w:lvl w:ilvl="0" w:tentative="0">
      <w:start w:val="11"/>
      <w:numFmt w:val="chineseCounting"/>
      <w:suff w:val="space"/>
      <w:lvlText w:val="第%1条"/>
      <w:lvlJc w:val="left"/>
      <w:rPr>
        <w:rFonts w:hint="eastAsia"/>
      </w:rPr>
    </w:lvl>
  </w:abstractNum>
  <w:abstractNum w:abstractNumId="1">
    <w:nsid w:val="051BB894"/>
    <w:multiLevelType w:val="singleLevel"/>
    <w:tmpl w:val="051BB894"/>
    <w:lvl w:ilvl="0" w:tentative="0">
      <w:start w:val="12"/>
      <w:numFmt w:val="chineseCounting"/>
      <w:suff w:val="space"/>
      <w:lvlText w:val="第%1条"/>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jNjMzFhZWY5MWJmZmFlNmJlZDJhZjRiY2Y0MTMwYjQifQ=="/>
  </w:docVars>
  <w:rsids>
    <w:rsidRoot w:val="00000000"/>
    <w:rsid w:val="00093964"/>
    <w:rsid w:val="01EE5E5A"/>
    <w:rsid w:val="02D470BE"/>
    <w:rsid w:val="03187CE3"/>
    <w:rsid w:val="071F7BC9"/>
    <w:rsid w:val="0AEA6860"/>
    <w:rsid w:val="0BBA4FFF"/>
    <w:rsid w:val="0BF866E0"/>
    <w:rsid w:val="0D166265"/>
    <w:rsid w:val="0E207CF1"/>
    <w:rsid w:val="0F7D3D15"/>
    <w:rsid w:val="136F6D90"/>
    <w:rsid w:val="1553115D"/>
    <w:rsid w:val="17467D7F"/>
    <w:rsid w:val="1AB0689F"/>
    <w:rsid w:val="1B564F8D"/>
    <w:rsid w:val="1EC0251A"/>
    <w:rsid w:val="226C321E"/>
    <w:rsid w:val="232F19D7"/>
    <w:rsid w:val="23F4595B"/>
    <w:rsid w:val="2A16018F"/>
    <w:rsid w:val="2B004385"/>
    <w:rsid w:val="2C0B0F4F"/>
    <w:rsid w:val="2DAC3172"/>
    <w:rsid w:val="2E2A1718"/>
    <w:rsid w:val="2E2F1FA3"/>
    <w:rsid w:val="2EAB4AB3"/>
    <w:rsid w:val="2F1F1767"/>
    <w:rsid w:val="30254105"/>
    <w:rsid w:val="3075311F"/>
    <w:rsid w:val="31AF08B2"/>
    <w:rsid w:val="330F43AA"/>
    <w:rsid w:val="34924E1B"/>
    <w:rsid w:val="38005F70"/>
    <w:rsid w:val="38CF3FB0"/>
    <w:rsid w:val="42644DA1"/>
    <w:rsid w:val="43DC45BB"/>
    <w:rsid w:val="446333AD"/>
    <w:rsid w:val="463662E0"/>
    <w:rsid w:val="46BE774B"/>
    <w:rsid w:val="46DA3F91"/>
    <w:rsid w:val="471F1BDF"/>
    <w:rsid w:val="482C014A"/>
    <w:rsid w:val="49290308"/>
    <w:rsid w:val="498D77D6"/>
    <w:rsid w:val="4DAE5A6A"/>
    <w:rsid w:val="505446A7"/>
    <w:rsid w:val="54E029AD"/>
    <w:rsid w:val="58466FCB"/>
    <w:rsid w:val="5AEB5C08"/>
    <w:rsid w:val="5AF5523A"/>
    <w:rsid w:val="5B523ED9"/>
    <w:rsid w:val="5B7C0F56"/>
    <w:rsid w:val="5C836EE2"/>
    <w:rsid w:val="639A466F"/>
    <w:rsid w:val="65795C9E"/>
    <w:rsid w:val="66D32372"/>
    <w:rsid w:val="67DC2FF0"/>
    <w:rsid w:val="69D840B5"/>
    <w:rsid w:val="6A9A5B6B"/>
    <w:rsid w:val="6B482D3B"/>
    <w:rsid w:val="6D904B19"/>
    <w:rsid w:val="701557F7"/>
    <w:rsid w:val="716342F2"/>
    <w:rsid w:val="734168B5"/>
    <w:rsid w:val="7470061B"/>
    <w:rsid w:val="77BA249B"/>
    <w:rsid w:val="78D21C77"/>
    <w:rsid w:val="7A010885"/>
    <w:rsid w:val="7AA008BF"/>
    <w:rsid w:val="7C99506C"/>
  </w:rsids>
  <m:mathPr>
    <m:mathFont m:val="Cambria Math"/>
    <m:brkBin m:val="before"/>
    <m:brkBinSub m:val="--"/>
    <m:smallFrac m:val="1"/>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Arial"/>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1"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99"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Arial"/>
      <w:kern w:val="2"/>
      <w:sz w:val="21"/>
      <w:szCs w:val="22"/>
      <w:lang w:val="en-US" w:eastAsia="zh-CN" w:bidi="ar-SA"/>
    </w:rPr>
  </w:style>
  <w:style w:type="character" w:default="1" w:styleId="3">
    <w:name w:val="Default Paragraph Font"/>
    <w:qFormat/>
    <w:uiPriority w:val="1"/>
  </w:style>
  <w:style w:type="table" w:default="1" w:styleId="2">
    <w:name w:val="Normal Table"/>
    <w:qFormat/>
    <w:uiPriority w:val="99"/>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9</Pages>
  <Words>4608</Words>
  <Characters>4632</Characters>
  <Paragraphs>220</Paragraphs>
  <TotalTime>3</TotalTime>
  <ScaleCrop>false</ScaleCrop>
  <LinksUpToDate>false</LinksUpToDate>
  <CharactersWithSpaces>4754</CharactersWithSpaces>
  <Application>WPS Office_12.1.0.17827_F1E327BC-269C-435d-A152-05C5408002CA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2026-08-26T10:49:00Z</dcterms:created>
  <dc:creator>2211133C</dc:creator>
  <cp:lastModifiedBy>NTKO</cp:lastModifiedBy>
  <cp:lastPrinted>2026-10-13T03:32:55Z</cp:lastPrinted>
  <dcterms:modified xsi:type="dcterms:W3CDTF">2026-10-13T03:34:04Z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8d57eeefc81b426b911b94b4638ec804_21</vt:lpwstr>
  </property>
  <property fmtid="{D5CDD505-2E9C-101B-9397-08002B2CF9AE}" pid="3" name="KSOTemplateDocerSaveRecord">
    <vt:lpwstr>eyJoZGlkIjoiMTRlYzFhOTMzMDAxZWUzZWMwZGRkMzBkY2E2OWJmMzEifQ==</vt:lpwstr>
  </property>
  <property fmtid="{D5CDD505-2E9C-101B-9397-08002B2CF9AE}" pid="4" name="KSOProductBuildVer">
    <vt:lpwstr>2052-12.1.0.17827</vt:lpwstr>
  </property>
</Properties>
</file>